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FE82" w14:textId="7A89C288" w:rsidR="00E411DC" w:rsidRDefault="00E411DC">
      <w:pPr>
        <w:rPr>
          <w:b/>
          <w:bCs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1F8DC36" wp14:editId="6BCFAE4E">
            <wp:simplePos x="0" y="0"/>
            <wp:positionH relativeFrom="column">
              <wp:posOffset>-469127</wp:posOffset>
            </wp:positionH>
            <wp:positionV relativeFrom="paragraph">
              <wp:posOffset>-485030</wp:posOffset>
            </wp:positionV>
            <wp:extent cx="2876550" cy="771525"/>
            <wp:effectExtent l="0" t="0" r="0" b="9525"/>
            <wp:wrapNone/>
            <wp:docPr id="1" name="Picture 1" descr="Description: S:\SHARED\Marketing\VSH Logos (NEW 2011)\VSH_LogoForClient\VSH_LogoForClient\JPGs\VSHLogo_JPGsRevised\VSH_Logo2c_horizOutl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HARED\Marketing\VSH Logos (NEW 2011)\VSH_LogoForClient\VSH_LogoForClient\JPGs\VSHLogo_JPGsRevised\VSH_Logo2c_horizOutl_No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5D29" wp14:editId="2555BB48">
                <wp:simplePos x="0" y="0"/>
                <wp:positionH relativeFrom="column">
                  <wp:posOffset>2934032</wp:posOffset>
                </wp:positionH>
                <wp:positionV relativeFrom="paragraph">
                  <wp:posOffset>-580114</wp:posOffset>
                </wp:positionV>
                <wp:extent cx="3562350" cy="1190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1632F" w14:textId="77777777" w:rsidR="00E411DC" w:rsidRPr="006803C7" w:rsidRDefault="00E411DC" w:rsidP="00E411DC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76923C"/>
                                <w:sz w:val="18"/>
                              </w:rPr>
                            </w:pPr>
                            <w:r w:rsidRPr="006803C7">
                              <w:rPr>
                                <w:rFonts w:ascii="Tahoma" w:hAnsi="Tahoma" w:cs="Tahoma"/>
                                <w:b/>
                                <w:bCs/>
                                <w:color w:val="76923C"/>
                                <w:sz w:val="18"/>
                              </w:rPr>
                              <w:t>vshcpa.com</w:t>
                            </w:r>
                          </w:p>
                          <w:p w14:paraId="4B56BA58" w14:textId="77777777" w:rsidR="00E411DC" w:rsidRPr="006803C7" w:rsidRDefault="00E411DC" w:rsidP="00E411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BELLINGHAM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 xml:space="preserve"> OFFICE</w:t>
                            </w:r>
                          </w:p>
                          <w:p w14:paraId="5937AB9E" w14:textId="77777777" w:rsidR="00E411DC" w:rsidRPr="006803C7" w:rsidRDefault="00E411DC" w:rsidP="00E411DC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</w:pP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360 734-8715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Fax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360-738-1176</w:t>
                            </w:r>
                          </w:p>
                          <w:p w14:paraId="47BFAA95" w14:textId="77777777" w:rsidR="00E411DC" w:rsidRDefault="00E411DC" w:rsidP="00E411DC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</w:pP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2200 Rimland Drive - Suite #205 - Bellingham, WA 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–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 98226</w:t>
                            </w:r>
                          </w:p>
                          <w:p w14:paraId="1EFFFC55" w14:textId="77777777" w:rsidR="00E411DC" w:rsidRPr="006803C7" w:rsidRDefault="00E411DC" w:rsidP="00E411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SKAGIT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 xml:space="preserve"> OFFICE</w:t>
                            </w:r>
                          </w:p>
                          <w:p w14:paraId="5D80196D" w14:textId="77777777" w:rsidR="00E411DC" w:rsidRPr="006803C7" w:rsidRDefault="00E411DC" w:rsidP="00E411DC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</w:pP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360 707-4290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6"/>
                              </w:rPr>
                              <w:t>Fax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360-738-1176</w:t>
                            </w:r>
                          </w:p>
                          <w:p w14:paraId="165C4E8E" w14:textId="77777777" w:rsidR="00E411DC" w:rsidRPr="004D03A7" w:rsidRDefault="00E411DC" w:rsidP="00E411DC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1404 E College Way - Suite #100 – Mt Vernon, WA - 98273</w:t>
                            </w:r>
                          </w:p>
                          <w:p w14:paraId="6E3E5CE6" w14:textId="77777777" w:rsidR="00E411DC" w:rsidRPr="004D03A7" w:rsidRDefault="00E411DC" w:rsidP="00E411DC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 xml:space="preserve">BC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>604 531-6638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 xml:space="preserve">AB </w:t>
                            </w:r>
                            <w:r w:rsidRPr="006803C7">
                              <w:rPr>
                                <w:rFonts w:ascii="Tahoma" w:hAnsi="Tahoma" w:cs="Tahoma"/>
                                <w:color w:val="76923C"/>
                                <w:sz w:val="14"/>
                              </w:rPr>
                              <w:t>Phone</w:t>
                            </w:r>
                            <w:r w:rsidRPr="006803C7">
                              <w:rPr>
                                <w:rFonts w:ascii="New Century Schoolbook" w:hAnsi="New Century Schoolbook"/>
                                <w:color w:val="8080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New Century Schoolbook" w:hAnsi="New Century Schoolbook"/>
                                <w:color w:val="948A54"/>
                                <w:sz w:val="16"/>
                              </w:rPr>
                              <w:t xml:space="preserve">587 293-9595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5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05pt;margin-top:-45.7pt;width:280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Nf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" stroked="f">
                <v:textbox>
                  <w:txbxContent>
                    <w:p w14:paraId="1651632F" w14:textId="77777777" w:rsidR="00E411DC" w:rsidRPr="006803C7" w:rsidRDefault="00E411DC" w:rsidP="00E411DC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bCs/>
                          <w:color w:val="76923C"/>
                          <w:sz w:val="18"/>
                        </w:rPr>
                      </w:pPr>
                      <w:r w:rsidRPr="006803C7">
                        <w:rPr>
                          <w:rFonts w:ascii="Tahoma" w:hAnsi="Tahoma" w:cs="Tahoma"/>
                          <w:b/>
                          <w:bCs/>
                          <w:color w:val="76923C"/>
                          <w:sz w:val="18"/>
                        </w:rPr>
                        <w:t>vshcpa.com</w:t>
                      </w:r>
                    </w:p>
                    <w:p w14:paraId="4B56BA58" w14:textId="77777777" w:rsidR="00E411DC" w:rsidRPr="006803C7" w:rsidRDefault="00E411DC" w:rsidP="00E411DC">
                      <w:pPr>
                        <w:spacing w:after="0" w:line="240" w:lineRule="auto"/>
                        <w:rPr>
                          <w:rFonts w:ascii="Tahoma" w:hAnsi="Tahoma" w:cs="Tahoma"/>
                          <w:color w:val="76923C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76923C"/>
                          <w:sz w:val="16"/>
                        </w:rPr>
                        <w:t>BELLINGHAM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 xml:space="preserve"> OFFICE</w:t>
                      </w:r>
                    </w:p>
                    <w:p w14:paraId="5937AB9E" w14:textId="77777777" w:rsidR="00E411DC" w:rsidRPr="006803C7" w:rsidRDefault="00E411DC" w:rsidP="00E411DC">
                      <w:pPr>
                        <w:spacing w:after="0" w:line="240" w:lineRule="auto"/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</w:pP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360 734-8715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  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>Fax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360-738-1176</w:t>
                      </w:r>
                    </w:p>
                    <w:p w14:paraId="47BFAA95" w14:textId="77777777" w:rsidR="00E411DC" w:rsidRDefault="00E411DC" w:rsidP="00E411DC">
                      <w:pPr>
                        <w:spacing w:after="0" w:line="240" w:lineRule="auto"/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</w:pP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2200 Rimland Drive - Suite #205 - Bellingham, WA 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–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 98226</w:t>
                      </w:r>
                    </w:p>
                    <w:p w14:paraId="1EFFFC55" w14:textId="77777777" w:rsidR="00E411DC" w:rsidRPr="006803C7" w:rsidRDefault="00E411DC" w:rsidP="00E411DC">
                      <w:pPr>
                        <w:spacing w:after="0" w:line="240" w:lineRule="auto"/>
                        <w:rPr>
                          <w:rFonts w:ascii="Tahoma" w:hAnsi="Tahoma" w:cs="Tahoma"/>
                          <w:color w:val="76923C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76923C"/>
                          <w:sz w:val="16"/>
                        </w:rPr>
                        <w:t>SKAGIT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 xml:space="preserve"> OFFICE</w:t>
                      </w:r>
                    </w:p>
                    <w:p w14:paraId="5D80196D" w14:textId="77777777" w:rsidR="00E411DC" w:rsidRPr="006803C7" w:rsidRDefault="00E411DC" w:rsidP="00E411DC">
                      <w:pPr>
                        <w:spacing w:after="0" w:line="240" w:lineRule="auto"/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</w:pP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360 707-4290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  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6"/>
                        </w:rPr>
                        <w:t>Fax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360-738-1176</w:t>
                      </w:r>
                    </w:p>
                    <w:p w14:paraId="165C4E8E" w14:textId="77777777" w:rsidR="00E411DC" w:rsidRPr="004D03A7" w:rsidRDefault="00E411DC" w:rsidP="00E411DC">
                      <w:pPr>
                        <w:spacing w:after="0" w:line="240" w:lineRule="auto"/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</w:pP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1404 E College Way - Suite #100 – Mt Vernon, WA - 98273</w:t>
                      </w:r>
                    </w:p>
                    <w:p w14:paraId="6E3E5CE6" w14:textId="77777777" w:rsidR="00E411DC" w:rsidRPr="004D03A7" w:rsidRDefault="00E411DC" w:rsidP="00E411DC">
                      <w:pPr>
                        <w:spacing w:after="0" w:line="240" w:lineRule="auto"/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76923C"/>
                          <w:sz w:val="14"/>
                        </w:rPr>
                        <w:t xml:space="preserve">BC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 w:rsidRPr="006803C7"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>604 531-6638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color w:val="76923C"/>
                          <w:sz w:val="14"/>
                        </w:rPr>
                        <w:t xml:space="preserve">AB </w:t>
                      </w:r>
                      <w:r w:rsidRPr="006803C7">
                        <w:rPr>
                          <w:rFonts w:ascii="Tahoma" w:hAnsi="Tahoma" w:cs="Tahoma"/>
                          <w:color w:val="76923C"/>
                          <w:sz w:val="14"/>
                        </w:rPr>
                        <w:t>Phone</w:t>
                      </w:r>
                      <w:r w:rsidRPr="006803C7">
                        <w:rPr>
                          <w:rFonts w:ascii="New Century Schoolbook" w:hAnsi="New Century Schoolbook"/>
                          <w:color w:val="808080"/>
                          <w:sz w:val="16"/>
                        </w:rPr>
                        <w:t xml:space="preserve">: </w:t>
                      </w:r>
                      <w:r>
                        <w:rPr>
                          <w:rFonts w:ascii="New Century Schoolbook" w:hAnsi="New Century Schoolbook"/>
                          <w:color w:val="948A54"/>
                          <w:sz w:val="16"/>
                        </w:rPr>
                        <w:t xml:space="preserve">587 293-9595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736E9B" w14:textId="4D024B01" w:rsidR="00E411DC" w:rsidRDefault="00E411DC">
      <w:pPr>
        <w:rPr>
          <w:b/>
          <w:bCs/>
          <w:sz w:val="24"/>
          <w:szCs w:val="24"/>
        </w:rPr>
      </w:pPr>
    </w:p>
    <w:p w14:paraId="3A62C603" w14:textId="77777777" w:rsidR="00E411DC" w:rsidRDefault="00E411DC">
      <w:pPr>
        <w:rPr>
          <w:b/>
          <w:bCs/>
          <w:sz w:val="24"/>
          <w:szCs w:val="24"/>
        </w:rPr>
      </w:pPr>
    </w:p>
    <w:p w14:paraId="4573B066" w14:textId="3D25D208" w:rsidR="00A51B33" w:rsidRPr="00E9647F" w:rsidRDefault="00AC6064">
      <w:pPr>
        <w:rPr>
          <w:b/>
          <w:bCs/>
          <w:sz w:val="24"/>
          <w:szCs w:val="24"/>
        </w:rPr>
      </w:pPr>
      <w:r w:rsidRPr="000C19CD">
        <w:rPr>
          <w:b/>
          <w:bCs/>
          <w:sz w:val="24"/>
          <w:szCs w:val="24"/>
        </w:rPr>
        <w:t xml:space="preserve">An </w:t>
      </w:r>
      <w:r w:rsidR="00D02C4A">
        <w:rPr>
          <w:b/>
          <w:bCs/>
          <w:sz w:val="24"/>
          <w:szCs w:val="24"/>
        </w:rPr>
        <w:t>O</w:t>
      </w:r>
      <w:r w:rsidRPr="000C19CD">
        <w:rPr>
          <w:b/>
          <w:bCs/>
          <w:sz w:val="24"/>
          <w:szCs w:val="24"/>
        </w:rPr>
        <w:t xml:space="preserve">verview of the </w:t>
      </w:r>
      <w:r w:rsidR="00D02C4A">
        <w:rPr>
          <w:b/>
          <w:bCs/>
          <w:sz w:val="24"/>
          <w:szCs w:val="24"/>
        </w:rPr>
        <w:t>T</w:t>
      </w:r>
      <w:r w:rsidR="000276E7" w:rsidRPr="000C19CD">
        <w:rPr>
          <w:b/>
          <w:bCs/>
          <w:sz w:val="24"/>
          <w:szCs w:val="24"/>
        </w:rPr>
        <w:t xml:space="preserve">ax </w:t>
      </w:r>
      <w:r w:rsidR="00D02C4A">
        <w:rPr>
          <w:b/>
          <w:bCs/>
          <w:sz w:val="24"/>
          <w:szCs w:val="24"/>
        </w:rPr>
        <w:t>C</w:t>
      </w:r>
      <w:r w:rsidR="000276E7" w:rsidRPr="000C19CD">
        <w:rPr>
          <w:b/>
          <w:bCs/>
          <w:sz w:val="24"/>
          <w:szCs w:val="24"/>
        </w:rPr>
        <w:t xml:space="preserve">redits </w:t>
      </w:r>
      <w:r w:rsidR="00D02C4A">
        <w:rPr>
          <w:b/>
          <w:bCs/>
          <w:sz w:val="24"/>
          <w:szCs w:val="24"/>
        </w:rPr>
        <w:t>A</w:t>
      </w:r>
      <w:r w:rsidR="00E73C12" w:rsidRPr="000C19CD">
        <w:rPr>
          <w:b/>
          <w:bCs/>
          <w:sz w:val="24"/>
          <w:szCs w:val="24"/>
        </w:rPr>
        <w:t xml:space="preserve">vailable </w:t>
      </w:r>
      <w:r w:rsidR="00D02C4A">
        <w:rPr>
          <w:b/>
          <w:bCs/>
          <w:sz w:val="24"/>
          <w:szCs w:val="24"/>
        </w:rPr>
        <w:t>U</w:t>
      </w:r>
      <w:r w:rsidR="00E9647F" w:rsidRPr="000C19CD">
        <w:rPr>
          <w:b/>
          <w:bCs/>
          <w:sz w:val="24"/>
          <w:szCs w:val="24"/>
        </w:rPr>
        <w:t xml:space="preserve">nder </w:t>
      </w:r>
      <w:r w:rsidR="00C147E7" w:rsidRPr="000C19CD">
        <w:rPr>
          <w:b/>
          <w:bCs/>
          <w:sz w:val="24"/>
          <w:szCs w:val="24"/>
        </w:rPr>
        <w:t>the</w:t>
      </w:r>
      <w:r w:rsidR="00E73C12" w:rsidRPr="000C19CD">
        <w:rPr>
          <w:b/>
          <w:bCs/>
          <w:sz w:val="24"/>
          <w:szCs w:val="24"/>
        </w:rPr>
        <w:t xml:space="preserve"> CARES</w:t>
      </w:r>
      <w:r w:rsidR="00C97F68">
        <w:rPr>
          <w:b/>
          <w:bCs/>
          <w:sz w:val="24"/>
          <w:szCs w:val="24"/>
        </w:rPr>
        <w:t xml:space="preserve"> and FFCRA</w:t>
      </w:r>
      <w:r w:rsidR="00C147E7" w:rsidRPr="000C19CD">
        <w:rPr>
          <w:b/>
          <w:bCs/>
          <w:sz w:val="24"/>
          <w:szCs w:val="24"/>
        </w:rPr>
        <w:t xml:space="preserve"> Act</w:t>
      </w:r>
      <w:r w:rsidR="00B26D86">
        <w:rPr>
          <w:b/>
          <w:bCs/>
          <w:sz w:val="24"/>
          <w:szCs w:val="24"/>
        </w:rPr>
        <w:t>s</w:t>
      </w:r>
      <w:r w:rsidR="00C97F68">
        <w:rPr>
          <w:b/>
          <w:bCs/>
          <w:sz w:val="24"/>
          <w:szCs w:val="24"/>
        </w:rPr>
        <w:t xml:space="preserve"> </w:t>
      </w:r>
    </w:p>
    <w:p w14:paraId="2062867F" w14:textId="4D04517A" w:rsidR="001477E9" w:rsidRDefault="00E27083" w:rsidP="00A900DF">
      <w:r w:rsidRPr="00AC279C">
        <w:t>On Friday, March 27</w:t>
      </w:r>
      <w:r w:rsidRPr="00AC279C">
        <w:rPr>
          <w:vertAlign w:val="superscript"/>
        </w:rPr>
        <w:t>th</w:t>
      </w:r>
      <w:r w:rsidRPr="00AC279C">
        <w:t xml:space="preserve">, President Trump signed </w:t>
      </w:r>
      <w:r w:rsidR="0061064C">
        <w:t xml:space="preserve">a historic stimulus bill: the </w:t>
      </w:r>
      <w:r w:rsidRPr="00AC279C">
        <w:t xml:space="preserve">Coronavirus Aid, Relief, and Economic Security </w:t>
      </w:r>
      <w:r w:rsidR="00C609A6">
        <w:t xml:space="preserve">(CARES) </w:t>
      </w:r>
      <w:r w:rsidR="007C4630" w:rsidRPr="00AC279C">
        <w:t>Act</w:t>
      </w:r>
      <w:r w:rsidR="00450823">
        <w:t>. This legislation</w:t>
      </w:r>
      <w:r w:rsidR="00DF387E">
        <w:t xml:space="preserve">’s </w:t>
      </w:r>
      <w:r w:rsidR="00CA4DE8">
        <w:t xml:space="preserve">many </w:t>
      </w:r>
      <w:r w:rsidR="00D629B7">
        <w:t>provisions</w:t>
      </w:r>
      <w:r w:rsidR="00842195">
        <w:t xml:space="preserve"> provide emergency relief for those suffering financial hardships due to COVID-19</w:t>
      </w:r>
      <w:r w:rsidR="00D42301">
        <w:t xml:space="preserve"> including </w:t>
      </w:r>
      <w:r w:rsidR="00F778DE">
        <w:t>individuals, businesses, state and local governments, and the health care system.</w:t>
      </w:r>
      <w:r w:rsidR="001477E9">
        <w:t xml:space="preserve"> </w:t>
      </w:r>
      <w:r w:rsidR="00965332">
        <w:t xml:space="preserve">The CARES Act is </w:t>
      </w:r>
      <w:r w:rsidR="0010734D">
        <w:t>in addition to the</w:t>
      </w:r>
      <w:r w:rsidR="001477E9">
        <w:t xml:space="preserve"> Families First Coronavirus Response Act (FFCRA) </w:t>
      </w:r>
      <w:r w:rsidR="0010734D">
        <w:t xml:space="preserve">which President Trump signed into law </w:t>
      </w:r>
      <w:r w:rsidR="001477E9">
        <w:t>on March 18</w:t>
      </w:r>
      <w:r w:rsidR="001477E9" w:rsidRPr="002F2AE9">
        <w:rPr>
          <w:vertAlign w:val="superscript"/>
        </w:rPr>
        <w:t>th</w:t>
      </w:r>
      <w:r w:rsidR="007803F4">
        <w:t xml:space="preserve">. FFCRA makes substantial changes to sick and </w:t>
      </w:r>
      <w:r w:rsidR="00C85212">
        <w:t xml:space="preserve">family and medical </w:t>
      </w:r>
      <w:r w:rsidR="007803F4">
        <w:t>leave for businesses and employees amid the emerging COVID-19 pandemic.</w:t>
      </w:r>
    </w:p>
    <w:p w14:paraId="19EFB1D3" w14:textId="2D247A53" w:rsidR="000565D9" w:rsidRDefault="00842195" w:rsidP="00A900DF">
      <w:r>
        <w:t>The following article is</w:t>
      </w:r>
      <w:r w:rsidR="009E6737">
        <w:t xml:space="preserve"> a high-level overview of the tax credits </w:t>
      </w:r>
      <w:r>
        <w:t xml:space="preserve">available under the CARES </w:t>
      </w:r>
      <w:r w:rsidR="001477E9">
        <w:t xml:space="preserve">and FFCRA </w:t>
      </w:r>
      <w:r>
        <w:t>Act</w:t>
      </w:r>
      <w:r w:rsidR="00AD0F2F">
        <w:t>s</w:t>
      </w:r>
      <w:r>
        <w:t>.</w:t>
      </w:r>
    </w:p>
    <w:p w14:paraId="2F1233C5" w14:textId="0056932E" w:rsidR="00DF387E" w:rsidRPr="002A7ADE" w:rsidRDefault="00DF387E" w:rsidP="00A900DF">
      <w:pPr>
        <w:rPr>
          <w:b/>
          <w:bCs/>
        </w:rPr>
      </w:pPr>
      <w:r w:rsidRPr="002A7ADE">
        <w:rPr>
          <w:b/>
          <w:bCs/>
        </w:rPr>
        <w:t>Business Tax Relief</w:t>
      </w:r>
    </w:p>
    <w:p w14:paraId="1458F899" w14:textId="6E837066" w:rsidR="00DF387E" w:rsidRDefault="00BE41BC" w:rsidP="00A900DF">
      <w:r>
        <w:t xml:space="preserve">The following </w:t>
      </w:r>
      <w:r w:rsidR="002E650A">
        <w:t>highlights</w:t>
      </w:r>
      <w:r w:rsidR="00465C2F">
        <w:t xml:space="preserve"> some of</w:t>
      </w:r>
      <w:r w:rsidR="002E650A">
        <w:t xml:space="preserve"> the most important business tax provisions found in the CARES Act. </w:t>
      </w:r>
      <w:r w:rsidR="000B6816">
        <w:t xml:space="preserve">These changes </w:t>
      </w:r>
      <w:r w:rsidR="00013176">
        <w:t xml:space="preserve">can help businesses reduce future taxes and claim deductions in 2019 as well as previous years. </w:t>
      </w:r>
      <w:r w:rsidR="00BD1F43">
        <w:t xml:space="preserve">It may be advantageous for some businesses to consider adjusting </w:t>
      </w:r>
      <w:r w:rsidR="00013176">
        <w:t>their 2019 tax return or amend previously filed returns</w:t>
      </w:r>
      <w:r w:rsidR="00BD1F43">
        <w:t xml:space="preserve">. </w:t>
      </w:r>
      <w:r w:rsidR="002A7ADE">
        <w:t xml:space="preserve">Please contact your CPA to discuss </w:t>
      </w:r>
      <w:r w:rsidR="00441F75">
        <w:t xml:space="preserve">whether </w:t>
      </w:r>
      <w:r w:rsidR="002A7ADE">
        <w:t xml:space="preserve">any of these options are advantageous to your business. </w:t>
      </w:r>
    </w:p>
    <w:p w14:paraId="2F995504" w14:textId="195EDE13" w:rsidR="00C84671" w:rsidRPr="009B58E0" w:rsidRDefault="00AF14D4" w:rsidP="005B40BD">
      <w:r>
        <w:rPr>
          <w:i/>
          <w:iCs/>
        </w:rPr>
        <w:t xml:space="preserve">The </w:t>
      </w:r>
      <w:r w:rsidR="00C84671" w:rsidRPr="00C84671">
        <w:rPr>
          <w:i/>
          <w:iCs/>
        </w:rPr>
        <w:t>Employee Retention Payroll Tax Credit</w:t>
      </w:r>
      <w:r w:rsidR="005657D2">
        <w:rPr>
          <w:i/>
          <w:iCs/>
        </w:rPr>
        <w:t xml:space="preserve"> </w:t>
      </w:r>
      <w:r w:rsidR="005657D2">
        <w:t>is available to employers</w:t>
      </w:r>
      <w:r w:rsidR="006D5DCF">
        <w:t xml:space="preserve"> whose operations were fully or partially suspended as a result of a government order due to COVID-19.</w:t>
      </w:r>
      <w:r w:rsidR="00CF24B8">
        <w:t xml:space="preserve"> </w:t>
      </w:r>
      <w:r w:rsidR="00456236">
        <w:t>Nonprofit organizations are eligible to take advantage of this credit</w:t>
      </w:r>
      <w:r w:rsidR="003362D9">
        <w:t>. E</w:t>
      </w:r>
      <w:r w:rsidR="003252E7">
        <w:t xml:space="preserve">mployers </w:t>
      </w:r>
      <w:r w:rsidR="00CF24B8">
        <w:t xml:space="preserve">taking advantage of the </w:t>
      </w:r>
      <w:r w:rsidR="003252E7">
        <w:t>small business interruption loans</w:t>
      </w:r>
      <w:r w:rsidR="00895CBB">
        <w:t xml:space="preserve"> are not eligible for this tax credit.</w:t>
      </w:r>
      <w:r w:rsidR="003D38AB" w:rsidRPr="003D38AB">
        <w:t xml:space="preserve"> </w:t>
      </w:r>
      <w:r w:rsidR="001A764F">
        <w:t>This</w:t>
      </w:r>
      <w:r w:rsidR="001A764F" w:rsidRPr="001A764F">
        <w:t xml:space="preserve"> credit</w:t>
      </w:r>
      <w:r w:rsidR="001A764F">
        <w:t xml:space="preserve"> is equal </w:t>
      </w:r>
      <w:r w:rsidR="001A764F" w:rsidRPr="001A764F">
        <w:t xml:space="preserve">to </w:t>
      </w:r>
      <w:r w:rsidR="00231E7B">
        <w:t>fifty percent</w:t>
      </w:r>
      <w:r w:rsidR="001A764F" w:rsidRPr="001A764F">
        <w:t xml:space="preserve"> of qualified wages against quarterly employment taxes, to offset up to $10,000 of wages paid per employee for wages paid after March 12, 2020, and before Jan. 1, 2021.</w:t>
      </w:r>
      <w:r w:rsidR="00CD475A">
        <w:t xml:space="preserve"> </w:t>
      </w:r>
    </w:p>
    <w:p w14:paraId="54F35203" w14:textId="595B2009" w:rsidR="00B72305" w:rsidRPr="00AF14D4" w:rsidRDefault="00AF14D4" w:rsidP="00B72305">
      <w:r>
        <w:rPr>
          <w:i/>
          <w:iCs/>
        </w:rPr>
        <w:t xml:space="preserve">The </w:t>
      </w:r>
      <w:r w:rsidR="00B72305">
        <w:rPr>
          <w:i/>
          <w:iCs/>
        </w:rPr>
        <w:t>Paycheck Protection Program</w:t>
      </w:r>
      <w:r>
        <w:rPr>
          <w:i/>
          <w:iCs/>
        </w:rPr>
        <w:t xml:space="preserve"> </w:t>
      </w:r>
      <w:r w:rsidR="00417C15">
        <w:t xml:space="preserve">will cover payroll costs </w:t>
      </w:r>
      <w:r w:rsidR="00C67E43">
        <w:t>(</w:t>
      </w:r>
      <w:r w:rsidR="00417C15">
        <w:t>up to $100,000</w:t>
      </w:r>
      <w:r w:rsidR="00C67E43">
        <w:t>)</w:t>
      </w:r>
      <w:r w:rsidR="00454655">
        <w:t xml:space="preserve"> for compensation including continuation</w:t>
      </w:r>
      <w:r w:rsidR="00417C15">
        <w:t xml:space="preserve"> of group health care benefits, employee salaries</w:t>
      </w:r>
      <w:r w:rsidR="00A10E86">
        <w:t>,</w:t>
      </w:r>
      <w:r w:rsidR="00574636">
        <w:t xml:space="preserve"> and commissions. </w:t>
      </w:r>
      <w:r w:rsidR="005E0DE0">
        <w:t xml:space="preserve">It also covers </w:t>
      </w:r>
      <w:r w:rsidR="00C50B34">
        <w:t>mortgage payments, rent utilities, and interest on debt obligations incurred before the covered period.</w:t>
      </w:r>
      <w:r w:rsidR="00C67E43">
        <w:t xml:space="preserve"> Eligibility is extended to </w:t>
      </w:r>
      <w:r w:rsidR="006F4FE3">
        <w:t>companies with 500 employees or less,</w:t>
      </w:r>
      <w:r w:rsidR="00252AC7">
        <w:t xml:space="preserve"> </w:t>
      </w:r>
      <w:r w:rsidR="006F4FE3">
        <w:t>nonprofits, veterans’ organizations</w:t>
      </w:r>
      <w:r w:rsidR="000D5992">
        <w:t xml:space="preserve">, </w:t>
      </w:r>
      <w:r w:rsidR="00437BDD">
        <w:t>tribal small businesses</w:t>
      </w:r>
      <w:r w:rsidR="003F4832">
        <w:t xml:space="preserve">, </w:t>
      </w:r>
      <w:r w:rsidR="000D5992">
        <w:t>sole-proprietors, independent contractors, and self-employed individuals.</w:t>
      </w:r>
      <w:r w:rsidR="004D0CC2">
        <w:t xml:space="preserve"> Loan forgiveness is available (up to the principal amount) </w:t>
      </w:r>
      <w:r w:rsidR="00BA427F">
        <w:t xml:space="preserve">but </w:t>
      </w:r>
      <w:r w:rsidR="006B5846">
        <w:t>will be reduced for employers</w:t>
      </w:r>
      <w:r w:rsidR="00252AC7">
        <w:t xml:space="preserve"> whom</w:t>
      </w:r>
      <w:r w:rsidR="006B5846">
        <w:t xml:space="preserve"> lay-off workers or reduce employee compensation. </w:t>
      </w:r>
    </w:p>
    <w:p w14:paraId="1A1647AF" w14:textId="02BD9144" w:rsidR="00C84671" w:rsidRPr="00A64620" w:rsidRDefault="00C84671" w:rsidP="005B40BD">
      <w:r>
        <w:rPr>
          <w:i/>
          <w:iCs/>
        </w:rPr>
        <w:t>Delay of Employment Tax Payments</w:t>
      </w:r>
      <w:r w:rsidR="00A64620">
        <w:t xml:space="preserve"> </w:t>
      </w:r>
      <w:r w:rsidR="00A2220F">
        <w:t xml:space="preserve">allows employers </w:t>
      </w:r>
      <w:r w:rsidR="0099316F">
        <w:t>to defer payment, of the employer share, of the social security tax on wages through December 31, 2020.</w:t>
      </w:r>
      <w:r w:rsidR="00932534">
        <w:t xml:space="preserve"> </w:t>
      </w:r>
      <w:r w:rsidR="00EB35BA">
        <w:t xml:space="preserve"> of the d</w:t>
      </w:r>
      <w:r w:rsidR="00932534">
        <w:t>eferred tax payment</w:t>
      </w:r>
      <w:r w:rsidR="00EB35BA">
        <w:t xml:space="preserve">s </w:t>
      </w:r>
      <w:r w:rsidR="006D085F">
        <w:t xml:space="preserve">are </w:t>
      </w:r>
      <w:r w:rsidR="00EB35BA">
        <w:t xml:space="preserve">due by 12/31/21 and the remainder </w:t>
      </w:r>
      <w:r w:rsidR="00936B39">
        <w:t xml:space="preserve">is </w:t>
      </w:r>
      <w:r w:rsidR="00EB35BA">
        <w:t xml:space="preserve">due by 12/31/22. </w:t>
      </w:r>
    </w:p>
    <w:p w14:paraId="171E5FA8" w14:textId="3D7A9826" w:rsidR="00B72305" w:rsidRPr="00153CEC" w:rsidRDefault="00B72305" w:rsidP="005B40BD">
      <w:r>
        <w:rPr>
          <w:i/>
          <w:iCs/>
        </w:rPr>
        <w:t>Net Operating Loss/Excess Business Loss Changes</w:t>
      </w:r>
      <w:r w:rsidR="00153CEC">
        <w:rPr>
          <w:i/>
          <w:iCs/>
        </w:rPr>
        <w:t xml:space="preserve"> </w:t>
      </w:r>
      <w:r w:rsidR="00E53988">
        <w:t xml:space="preserve">The CARES Act amends a provision in the TCJA that limited net operating loss deductions to 80%. </w:t>
      </w:r>
      <w:r w:rsidR="00C41DD7">
        <w:t xml:space="preserve">Under the CARES Act, </w:t>
      </w:r>
      <w:r w:rsidR="005674F7">
        <w:t xml:space="preserve">net operating losses incurred are </w:t>
      </w:r>
      <w:r w:rsidR="00CF171A">
        <w:lastRenderedPageBreak/>
        <w:t xml:space="preserve">fully deductible. Businesses can claim refunds of taxes paid in prior years, contact your CPA to discuss </w:t>
      </w:r>
      <w:r w:rsidR="00AA628B">
        <w:t xml:space="preserve">carry back options. </w:t>
      </w:r>
    </w:p>
    <w:p w14:paraId="449CB664" w14:textId="5F260ED3" w:rsidR="00B72305" w:rsidRPr="007F7CEB" w:rsidRDefault="008772C8" w:rsidP="005B40BD">
      <w:r>
        <w:rPr>
          <w:i/>
          <w:iCs/>
        </w:rPr>
        <w:t xml:space="preserve">The </w:t>
      </w:r>
      <w:r w:rsidR="00B72305">
        <w:rPr>
          <w:i/>
          <w:iCs/>
        </w:rPr>
        <w:t>Business Interest Deduction</w:t>
      </w:r>
      <w:r>
        <w:rPr>
          <w:i/>
          <w:iCs/>
        </w:rPr>
        <w:t xml:space="preserve"> </w:t>
      </w:r>
      <w:r w:rsidR="007F7CEB">
        <w:t xml:space="preserve">limit has increased the deductibility of business interest from </w:t>
      </w:r>
      <w:r w:rsidR="00231E7B">
        <w:t xml:space="preserve">thirty </w:t>
      </w:r>
      <w:r w:rsidR="007F7CEB">
        <w:t xml:space="preserve">percent of taxable income to </w:t>
      </w:r>
      <w:r w:rsidR="00231E7B">
        <w:t xml:space="preserve">fifty </w:t>
      </w:r>
      <w:r w:rsidR="007F7CEB">
        <w:t xml:space="preserve">percent. </w:t>
      </w:r>
    </w:p>
    <w:p w14:paraId="64BA4C8E" w14:textId="52139CA7" w:rsidR="00B72305" w:rsidRDefault="00B72305" w:rsidP="00AC133A">
      <w:pPr>
        <w:spacing w:after="0" w:line="240" w:lineRule="auto"/>
      </w:pPr>
      <w:r>
        <w:rPr>
          <w:i/>
          <w:iCs/>
        </w:rPr>
        <w:t>Qualified Improvement Property</w:t>
      </w:r>
      <w:r w:rsidR="003935B4">
        <w:rPr>
          <w:i/>
          <w:iCs/>
        </w:rPr>
        <w:t xml:space="preserve"> </w:t>
      </w:r>
      <w:r w:rsidR="00AC133A" w:rsidRPr="00AC133A">
        <w:t xml:space="preserve">A correction to the 2017 Tax Cuts and Jobs Act (TCJA) that allows the </w:t>
      </w:r>
      <w:r w:rsidR="00CB1CB1">
        <w:t>one hundred percent</w:t>
      </w:r>
      <w:r w:rsidR="00AC133A" w:rsidRPr="00AC133A">
        <w:t xml:space="preserve"> bonus</w:t>
      </w:r>
      <w:r w:rsidR="00AC133A">
        <w:t xml:space="preserve"> </w:t>
      </w:r>
      <w:r w:rsidR="00AC133A" w:rsidRPr="00AC133A">
        <w:t>depreciation deduction for “qualified improvement property”, which includes qualified</w:t>
      </w:r>
      <w:r w:rsidR="00CB1CB1">
        <w:t xml:space="preserve"> </w:t>
      </w:r>
      <w:r w:rsidR="00AC133A" w:rsidRPr="00AC133A">
        <w:t>leasehold and retail improvement property</w:t>
      </w:r>
      <w:r w:rsidR="00CB1CB1">
        <w:t>,</w:t>
      </w:r>
      <w:r w:rsidR="00AC133A" w:rsidRPr="00AC133A">
        <w:t xml:space="preserve"> and qualified restaurant property. Taxpayers are</w:t>
      </w:r>
      <w:r w:rsidR="00CB1CB1">
        <w:t xml:space="preserve"> </w:t>
      </w:r>
      <w:r w:rsidR="00AC133A" w:rsidRPr="00AC133A">
        <w:t>allowed to retroactively apply this correction to tax years starting in 2018.</w:t>
      </w:r>
    </w:p>
    <w:p w14:paraId="16B5A271" w14:textId="77777777" w:rsidR="00AC133A" w:rsidRPr="00AC133A" w:rsidRDefault="00AC133A" w:rsidP="00AC133A">
      <w:pPr>
        <w:spacing w:after="0" w:line="240" w:lineRule="auto"/>
      </w:pPr>
    </w:p>
    <w:p w14:paraId="31E3034E" w14:textId="4DACBF2B" w:rsidR="005B40BD" w:rsidRDefault="005B40BD" w:rsidP="00E411DC">
      <w:pPr>
        <w:spacing w:after="0"/>
      </w:pPr>
      <w:r w:rsidRPr="0075452A">
        <w:rPr>
          <w:i/>
          <w:iCs/>
        </w:rPr>
        <w:t>SBA Programs</w:t>
      </w:r>
      <w:r>
        <w:t>:</w:t>
      </w:r>
    </w:p>
    <w:p w14:paraId="17A6E141" w14:textId="04444D3F" w:rsidR="008F427F" w:rsidRDefault="00332DFB" w:rsidP="00E411DC">
      <w:pPr>
        <w:pStyle w:val="ListParagraph"/>
        <w:numPr>
          <w:ilvl w:val="0"/>
          <w:numId w:val="2"/>
        </w:numPr>
        <w:spacing w:after="120"/>
      </w:pPr>
      <w:r>
        <w:t>Economic Injury Disaster Loans</w:t>
      </w:r>
    </w:p>
    <w:p w14:paraId="4B541831" w14:textId="0673EF0B" w:rsidR="00332DFB" w:rsidRDefault="00332DFB" w:rsidP="008F427F">
      <w:pPr>
        <w:pStyle w:val="ListParagraph"/>
        <w:numPr>
          <w:ilvl w:val="0"/>
          <w:numId w:val="2"/>
        </w:numPr>
      </w:pPr>
      <w:r>
        <w:t>SBA Payroll Protection Program</w:t>
      </w:r>
    </w:p>
    <w:p w14:paraId="28A627D4" w14:textId="6770F411" w:rsidR="00332DFB" w:rsidRDefault="00332DFB" w:rsidP="008F427F">
      <w:pPr>
        <w:pStyle w:val="ListParagraph"/>
        <w:numPr>
          <w:ilvl w:val="0"/>
          <w:numId w:val="2"/>
        </w:numPr>
      </w:pPr>
      <w:r>
        <w:t>SBA Express Bridge Loan</w:t>
      </w:r>
    </w:p>
    <w:p w14:paraId="73500E82" w14:textId="1E5188D4" w:rsidR="00332DFB" w:rsidRDefault="00332DFB" w:rsidP="008F427F">
      <w:pPr>
        <w:pStyle w:val="ListParagraph"/>
        <w:numPr>
          <w:ilvl w:val="0"/>
          <w:numId w:val="2"/>
        </w:numPr>
      </w:pPr>
      <w:r>
        <w:t>SBA Regular 7(a) Loan Program</w:t>
      </w:r>
    </w:p>
    <w:p w14:paraId="4F82C5A9" w14:textId="0B367816" w:rsidR="00590E30" w:rsidRPr="002F2AE9" w:rsidRDefault="00CB2FE6" w:rsidP="00A900DF">
      <w:pPr>
        <w:rPr>
          <w:i/>
          <w:iCs/>
        </w:rPr>
      </w:pPr>
      <w:r>
        <w:rPr>
          <w:i/>
          <w:iCs/>
        </w:rPr>
        <w:t>The Families First Coronavirus Response Act (FFCRA)</w:t>
      </w:r>
    </w:p>
    <w:p w14:paraId="4EAEA288" w14:textId="77777777" w:rsidR="00590E30" w:rsidRDefault="00590E30" w:rsidP="00590E30">
      <w:r>
        <w:t>There are two ways employers can aid employees: Emergency paid sick leave [COVID-PSL] and extended family medical leave [EFMLA].</w:t>
      </w:r>
    </w:p>
    <w:p w14:paraId="17D3C90E" w14:textId="584BCF7B" w:rsidR="00590E30" w:rsidRPr="00E411DC" w:rsidRDefault="00590E30" w:rsidP="00A900DF">
      <w:r>
        <w:t xml:space="preserve">If employers make COVID-PSL and EFMLA payments to employees, they are able to offset those payments through tax breaks. The payroll tax credits can be claimed by </w:t>
      </w:r>
      <w:r w:rsidRPr="00E411DC">
        <w:t>employers offering qualifying leave between the effective date of the Act and December 31, 2020.</w:t>
      </w:r>
      <w:r>
        <w:t xml:space="preserve"> </w:t>
      </w:r>
      <w:bookmarkStart w:id="0" w:name="_GoBack"/>
      <w:bookmarkEnd w:id="0"/>
    </w:p>
    <w:p w14:paraId="70B7018C" w14:textId="66E5C56D" w:rsidR="00DF387E" w:rsidRPr="002A7ADE" w:rsidRDefault="00DF387E" w:rsidP="00A900DF">
      <w:pPr>
        <w:rPr>
          <w:b/>
          <w:bCs/>
        </w:rPr>
      </w:pPr>
      <w:r w:rsidRPr="002A7ADE">
        <w:rPr>
          <w:b/>
          <w:bCs/>
        </w:rPr>
        <w:t xml:space="preserve">Individual Tax Relief </w:t>
      </w:r>
    </w:p>
    <w:p w14:paraId="6C7DE53E" w14:textId="3A4FE1A9" w:rsidR="002B5076" w:rsidRDefault="002B5076" w:rsidP="00C147E7">
      <w:pPr>
        <w:pStyle w:val="ListParagraph"/>
        <w:numPr>
          <w:ilvl w:val="0"/>
          <w:numId w:val="3"/>
        </w:numPr>
      </w:pPr>
      <w:r w:rsidRPr="000C7B4A">
        <w:rPr>
          <w:i/>
          <w:iCs/>
        </w:rPr>
        <w:t xml:space="preserve">Tax credit </w:t>
      </w:r>
      <w:r w:rsidR="00870CDE" w:rsidRPr="000C7B4A">
        <w:rPr>
          <w:i/>
          <w:iCs/>
        </w:rPr>
        <w:t xml:space="preserve">recovery </w:t>
      </w:r>
      <w:r w:rsidRPr="000C7B4A">
        <w:rPr>
          <w:i/>
          <w:iCs/>
        </w:rPr>
        <w:t>rebates</w:t>
      </w:r>
      <w:r>
        <w:t xml:space="preserve"> of up to </w:t>
      </w:r>
      <w:r w:rsidR="00870CDE">
        <w:t xml:space="preserve">$1,200 for singles, $1,200 for heads of </w:t>
      </w:r>
      <w:r w:rsidR="00192253">
        <w:t>households</w:t>
      </w:r>
      <w:r w:rsidR="00870CDE">
        <w:t xml:space="preserve">, and $2,400 for married couplies filing jointly. </w:t>
      </w:r>
      <w:r w:rsidR="00192253">
        <w:t>Additionally</w:t>
      </w:r>
      <w:r w:rsidR="00870CDE">
        <w:t xml:space="preserve">, families with children </w:t>
      </w:r>
      <w:r w:rsidR="00192253">
        <w:t>under</w:t>
      </w:r>
      <w:r w:rsidR="00870CDE">
        <w:t xml:space="preserve"> 17 will also receive an additional $500 per qualifying child. If you </w:t>
      </w:r>
      <w:r w:rsidR="00CC30DE">
        <w:t>earn more than $75,000 a year, payments will phase out and those earning $99,000</w:t>
      </w:r>
      <w:r w:rsidR="00192253">
        <w:t xml:space="preserve"> would not be eligible. Phase-out numbers double for married couples. </w:t>
      </w:r>
    </w:p>
    <w:p w14:paraId="4FBE6B81" w14:textId="346896CA" w:rsidR="00C147E7" w:rsidRDefault="00C147E7" w:rsidP="00C147E7">
      <w:pPr>
        <w:pStyle w:val="ListParagraph"/>
        <w:numPr>
          <w:ilvl w:val="0"/>
          <w:numId w:val="3"/>
        </w:numPr>
      </w:pPr>
      <w:r>
        <w:t>Penalty-free withdrawals from qualified retirement plan funds</w:t>
      </w:r>
      <w:r w:rsidR="0011774A">
        <w:t xml:space="preserve"> up to $100,000</w:t>
      </w:r>
      <w:r w:rsidR="006E4334">
        <w:t xml:space="preserve"> between January 1, 2020 and December 31, 2020.</w:t>
      </w:r>
      <w:r w:rsidR="005464F7">
        <w:t xml:space="preserve"> The 10% pena</w:t>
      </w:r>
      <w:r w:rsidR="00F50364">
        <w:t xml:space="preserve">lty on early distributions from </w:t>
      </w:r>
      <w:r w:rsidR="00960F4F">
        <w:t>qualified retirement plans, including IRAs and 401(k)s will be waived</w:t>
      </w:r>
      <w:r w:rsidR="00097DA6">
        <w:t>.</w:t>
      </w:r>
    </w:p>
    <w:p w14:paraId="0BE0135C" w14:textId="2AB98FA3" w:rsidR="00A6430F" w:rsidRDefault="00C147E7" w:rsidP="00A6430F">
      <w:pPr>
        <w:pStyle w:val="ListParagraph"/>
        <w:numPr>
          <w:ilvl w:val="0"/>
          <w:numId w:val="3"/>
        </w:numPr>
      </w:pPr>
      <w:r>
        <w:t xml:space="preserve">A temporary waiver of required minimum distributions </w:t>
      </w:r>
      <w:r w:rsidR="00A6430F">
        <w:t>to</w:t>
      </w:r>
      <w:r w:rsidR="00710F0B">
        <w:t xml:space="preserve"> from a retirement plan or IRA for calendar year 2020.</w:t>
      </w:r>
    </w:p>
    <w:p w14:paraId="53E1E58D" w14:textId="03E9D383" w:rsidR="00A860F4" w:rsidRDefault="00F55309" w:rsidP="00C147E7">
      <w:pPr>
        <w:pStyle w:val="ListParagraph"/>
        <w:numPr>
          <w:ilvl w:val="0"/>
          <w:numId w:val="3"/>
        </w:numPr>
        <w:rPr>
          <w:i/>
          <w:iCs/>
        </w:rPr>
      </w:pPr>
      <w:r w:rsidRPr="00F55309">
        <w:rPr>
          <w:i/>
          <w:iCs/>
        </w:rPr>
        <w:t>E</w:t>
      </w:r>
      <w:r w:rsidR="00A860F4" w:rsidRPr="00F55309">
        <w:rPr>
          <w:i/>
          <w:iCs/>
        </w:rPr>
        <w:t>xpansion of unemployment benefits</w:t>
      </w:r>
    </w:p>
    <w:p w14:paraId="3C63F612" w14:textId="4E23D040" w:rsidR="00C97B0D" w:rsidRPr="00365A66" w:rsidRDefault="00103BCC" w:rsidP="00C97B0D">
      <w:pPr>
        <w:pStyle w:val="ListParagraph"/>
        <w:numPr>
          <w:ilvl w:val="1"/>
          <w:numId w:val="3"/>
        </w:numPr>
        <w:rPr>
          <w:i/>
          <w:iCs/>
        </w:rPr>
      </w:pPr>
      <w:r>
        <w:t xml:space="preserve">In addition to </w:t>
      </w:r>
      <w:r w:rsidR="0081583F">
        <w:t>state aid, u</w:t>
      </w:r>
      <w:r w:rsidR="007514BD">
        <w:t>nemployed</w:t>
      </w:r>
      <w:r w:rsidR="0081583F">
        <w:t xml:space="preserve"> workers</w:t>
      </w:r>
      <w:r w:rsidR="007514BD">
        <w:t xml:space="preserve"> </w:t>
      </w:r>
      <w:r>
        <w:t xml:space="preserve">will </w:t>
      </w:r>
      <w:r w:rsidR="007514BD">
        <w:t xml:space="preserve">receive an additional </w:t>
      </w:r>
      <w:r>
        <w:t>$600/week</w:t>
      </w:r>
      <w:r w:rsidR="0081583F">
        <w:t>.</w:t>
      </w:r>
    </w:p>
    <w:p w14:paraId="4EF90835" w14:textId="7A91F3E5" w:rsidR="00365A66" w:rsidRPr="00365A66" w:rsidRDefault="00365A66" w:rsidP="00C97B0D">
      <w:pPr>
        <w:pStyle w:val="ListParagraph"/>
        <w:numPr>
          <w:ilvl w:val="1"/>
          <w:numId w:val="3"/>
        </w:numPr>
        <w:rPr>
          <w:i/>
          <w:iCs/>
        </w:rPr>
      </w:pPr>
      <w:r>
        <w:t>Self-employed workers and independent contractors will be eligible.</w:t>
      </w:r>
    </w:p>
    <w:p w14:paraId="4A60DAA4" w14:textId="65D69CCE" w:rsidR="00A6430F" w:rsidRPr="00A6430F" w:rsidRDefault="00C347A1" w:rsidP="00A6430F">
      <w:pPr>
        <w:pStyle w:val="ListParagraph"/>
        <w:numPr>
          <w:ilvl w:val="1"/>
          <w:numId w:val="3"/>
        </w:numPr>
        <w:rPr>
          <w:i/>
          <w:iCs/>
        </w:rPr>
      </w:pPr>
      <w:r>
        <w:t>Typically running out after 6 months, unemployment benefits will be extended for an additional 13 weeks</w:t>
      </w:r>
      <w:r w:rsidR="00A6430F">
        <w:t>.</w:t>
      </w:r>
    </w:p>
    <w:p w14:paraId="566C29CE" w14:textId="1F887D02" w:rsidR="00563C4D" w:rsidRPr="006501B8" w:rsidRDefault="00563C4D" w:rsidP="00FD1C5C"/>
    <w:sectPr w:rsidR="00563C4D" w:rsidRPr="0065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FE"/>
    <w:multiLevelType w:val="hybridMultilevel"/>
    <w:tmpl w:val="84F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E74"/>
    <w:multiLevelType w:val="hybridMultilevel"/>
    <w:tmpl w:val="ABAC6358"/>
    <w:lvl w:ilvl="0" w:tplc="D6983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63B"/>
    <w:multiLevelType w:val="hybridMultilevel"/>
    <w:tmpl w:val="9D5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E7"/>
    <w:rsid w:val="0001174B"/>
    <w:rsid w:val="00013176"/>
    <w:rsid w:val="000276E7"/>
    <w:rsid w:val="00053682"/>
    <w:rsid w:val="000565D9"/>
    <w:rsid w:val="00062BA3"/>
    <w:rsid w:val="00097DA6"/>
    <w:rsid w:val="000B6816"/>
    <w:rsid w:val="000C19CD"/>
    <w:rsid w:val="000C7B4A"/>
    <w:rsid w:val="000D4283"/>
    <w:rsid w:val="000D5992"/>
    <w:rsid w:val="000E6D11"/>
    <w:rsid w:val="00103BCC"/>
    <w:rsid w:val="0010732B"/>
    <w:rsid w:val="0010734D"/>
    <w:rsid w:val="001149BE"/>
    <w:rsid w:val="0011774A"/>
    <w:rsid w:val="001210D6"/>
    <w:rsid w:val="001361DA"/>
    <w:rsid w:val="001477E9"/>
    <w:rsid w:val="0015039E"/>
    <w:rsid w:val="00153CEC"/>
    <w:rsid w:val="00192253"/>
    <w:rsid w:val="001A4722"/>
    <w:rsid w:val="001A63FC"/>
    <w:rsid w:val="001A764F"/>
    <w:rsid w:val="001D56BB"/>
    <w:rsid w:val="001E1AF7"/>
    <w:rsid w:val="00205613"/>
    <w:rsid w:val="00231E7B"/>
    <w:rsid w:val="00236A23"/>
    <w:rsid w:val="00252AC7"/>
    <w:rsid w:val="002A7ADE"/>
    <w:rsid w:val="002B5076"/>
    <w:rsid w:val="002C0608"/>
    <w:rsid w:val="002E650A"/>
    <w:rsid w:val="002F2AE9"/>
    <w:rsid w:val="003252E7"/>
    <w:rsid w:val="00332DFB"/>
    <w:rsid w:val="00333098"/>
    <w:rsid w:val="003362D9"/>
    <w:rsid w:val="00365A66"/>
    <w:rsid w:val="003935B4"/>
    <w:rsid w:val="003B21DE"/>
    <w:rsid w:val="003C2763"/>
    <w:rsid w:val="003C2A8E"/>
    <w:rsid w:val="003D38AB"/>
    <w:rsid w:val="003F4832"/>
    <w:rsid w:val="00417C15"/>
    <w:rsid w:val="00437BDD"/>
    <w:rsid w:val="00441F75"/>
    <w:rsid w:val="00450823"/>
    <w:rsid w:val="00454655"/>
    <w:rsid w:val="00456236"/>
    <w:rsid w:val="0046329C"/>
    <w:rsid w:val="00465C2F"/>
    <w:rsid w:val="004766F2"/>
    <w:rsid w:val="004D0CC2"/>
    <w:rsid w:val="004E1DFF"/>
    <w:rsid w:val="004F1412"/>
    <w:rsid w:val="00524221"/>
    <w:rsid w:val="005464F7"/>
    <w:rsid w:val="00563C4D"/>
    <w:rsid w:val="005657D2"/>
    <w:rsid w:val="005674F7"/>
    <w:rsid w:val="00574636"/>
    <w:rsid w:val="00590E30"/>
    <w:rsid w:val="005B40BD"/>
    <w:rsid w:val="005E0DE0"/>
    <w:rsid w:val="0061064C"/>
    <w:rsid w:val="00616904"/>
    <w:rsid w:val="00630BE8"/>
    <w:rsid w:val="006501B8"/>
    <w:rsid w:val="00671E65"/>
    <w:rsid w:val="006B5846"/>
    <w:rsid w:val="006D085F"/>
    <w:rsid w:val="006D5DCF"/>
    <w:rsid w:val="006E4334"/>
    <w:rsid w:val="006F43BD"/>
    <w:rsid w:val="006F4FE3"/>
    <w:rsid w:val="00700413"/>
    <w:rsid w:val="00710F0B"/>
    <w:rsid w:val="007514BD"/>
    <w:rsid w:val="0075452A"/>
    <w:rsid w:val="007639AD"/>
    <w:rsid w:val="007803F4"/>
    <w:rsid w:val="00792FE3"/>
    <w:rsid w:val="007A7D2C"/>
    <w:rsid w:val="007C4630"/>
    <w:rsid w:val="007C7BF1"/>
    <w:rsid w:val="007E392D"/>
    <w:rsid w:val="007F7CEB"/>
    <w:rsid w:val="0081583F"/>
    <w:rsid w:val="008248AA"/>
    <w:rsid w:val="00842195"/>
    <w:rsid w:val="0085622A"/>
    <w:rsid w:val="00870CDE"/>
    <w:rsid w:val="008772C8"/>
    <w:rsid w:val="00891BC0"/>
    <w:rsid w:val="00895CBB"/>
    <w:rsid w:val="008D04D1"/>
    <w:rsid w:val="008F427F"/>
    <w:rsid w:val="00926E92"/>
    <w:rsid w:val="00932534"/>
    <w:rsid w:val="00936B39"/>
    <w:rsid w:val="00960F14"/>
    <w:rsid w:val="00960F4F"/>
    <w:rsid w:val="00965332"/>
    <w:rsid w:val="0099316F"/>
    <w:rsid w:val="009A689F"/>
    <w:rsid w:val="009B58E0"/>
    <w:rsid w:val="009E1360"/>
    <w:rsid w:val="009E6737"/>
    <w:rsid w:val="009F11AC"/>
    <w:rsid w:val="00A02087"/>
    <w:rsid w:val="00A10E86"/>
    <w:rsid w:val="00A2220F"/>
    <w:rsid w:val="00A51B33"/>
    <w:rsid w:val="00A53971"/>
    <w:rsid w:val="00A544C9"/>
    <w:rsid w:val="00A6430F"/>
    <w:rsid w:val="00A64620"/>
    <w:rsid w:val="00A8258C"/>
    <w:rsid w:val="00A860F4"/>
    <w:rsid w:val="00A900DF"/>
    <w:rsid w:val="00AA0904"/>
    <w:rsid w:val="00AA628B"/>
    <w:rsid w:val="00AC133A"/>
    <w:rsid w:val="00AC279C"/>
    <w:rsid w:val="00AC6064"/>
    <w:rsid w:val="00AD0F2F"/>
    <w:rsid w:val="00AF14D4"/>
    <w:rsid w:val="00B003AB"/>
    <w:rsid w:val="00B104AC"/>
    <w:rsid w:val="00B26D86"/>
    <w:rsid w:val="00B72305"/>
    <w:rsid w:val="00B7282C"/>
    <w:rsid w:val="00BA427F"/>
    <w:rsid w:val="00BC601E"/>
    <w:rsid w:val="00BD1F43"/>
    <w:rsid w:val="00BE41BC"/>
    <w:rsid w:val="00BE4B41"/>
    <w:rsid w:val="00C0394E"/>
    <w:rsid w:val="00C147E7"/>
    <w:rsid w:val="00C23813"/>
    <w:rsid w:val="00C304A8"/>
    <w:rsid w:val="00C347A1"/>
    <w:rsid w:val="00C41DD7"/>
    <w:rsid w:val="00C50B34"/>
    <w:rsid w:val="00C609A6"/>
    <w:rsid w:val="00C67E43"/>
    <w:rsid w:val="00C84671"/>
    <w:rsid w:val="00C85212"/>
    <w:rsid w:val="00C854A5"/>
    <w:rsid w:val="00C90EDD"/>
    <w:rsid w:val="00C97B0D"/>
    <w:rsid w:val="00C97F68"/>
    <w:rsid w:val="00CA4DE8"/>
    <w:rsid w:val="00CB0189"/>
    <w:rsid w:val="00CB1CB1"/>
    <w:rsid w:val="00CB2FE6"/>
    <w:rsid w:val="00CC30DE"/>
    <w:rsid w:val="00CD475A"/>
    <w:rsid w:val="00CF171A"/>
    <w:rsid w:val="00CF24B8"/>
    <w:rsid w:val="00D02C4A"/>
    <w:rsid w:val="00D04F84"/>
    <w:rsid w:val="00D078A2"/>
    <w:rsid w:val="00D22748"/>
    <w:rsid w:val="00D42301"/>
    <w:rsid w:val="00D53B21"/>
    <w:rsid w:val="00D629B7"/>
    <w:rsid w:val="00D81125"/>
    <w:rsid w:val="00DB6177"/>
    <w:rsid w:val="00DC6179"/>
    <w:rsid w:val="00DF387E"/>
    <w:rsid w:val="00E01E79"/>
    <w:rsid w:val="00E17E7E"/>
    <w:rsid w:val="00E27083"/>
    <w:rsid w:val="00E331F2"/>
    <w:rsid w:val="00E411DC"/>
    <w:rsid w:val="00E53988"/>
    <w:rsid w:val="00E73C12"/>
    <w:rsid w:val="00E9647F"/>
    <w:rsid w:val="00EA4875"/>
    <w:rsid w:val="00EB35BA"/>
    <w:rsid w:val="00F0045C"/>
    <w:rsid w:val="00F42D71"/>
    <w:rsid w:val="00F50364"/>
    <w:rsid w:val="00F55309"/>
    <w:rsid w:val="00F778DE"/>
    <w:rsid w:val="00F8093D"/>
    <w:rsid w:val="00FD1C5C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453"/>
  <w15:chartTrackingRefBased/>
  <w15:docId w15:val="{EDADBF5F-51C9-40A2-A9EB-C000401B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64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2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27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3E354D57454A8CE96571F0CC6135" ma:contentTypeVersion="12" ma:contentTypeDescription="Create a new document." ma:contentTypeScope="" ma:versionID="9c47063814db8496e72a109a0c27d66c">
  <xsd:schema xmlns:xsd="http://www.w3.org/2001/XMLSchema" xmlns:xs="http://www.w3.org/2001/XMLSchema" xmlns:p="http://schemas.microsoft.com/office/2006/metadata/properties" xmlns:ns2="4fb526e6-87a1-4300-b63f-91c0eefa9031" xmlns:ns3="6833c052-31f8-41cf-bbf2-d41be3678412" targetNamespace="http://schemas.microsoft.com/office/2006/metadata/properties" ma:root="true" ma:fieldsID="4186f0e0be5f76ce31ea6d274ff5195e" ns2:_="" ns3:_="">
    <xsd:import namespace="4fb526e6-87a1-4300-b63f-91c0eefa9031"/>
    <xsd:import namespace="6833c052-31f8-41cf-bbf2-d41be3678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26e6-87a1-4300-b63f-91c0eefa9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3c052-31f8-41cf-bbf2-d41be3678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61D9F-AEFD-4233-9728-B00D7CBE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526e6-87a1-4300-b63f-91c0eefa9031"/>
    <ds:schemaRef ds:uri="6833c052-31f8-41cf-bbf2-d41be3678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51999-FABB-4439-B585-6B2FF8E16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149DD-85D6-49A0-8988-78C98E7B3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12" baseType="variant"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https://ht2cpa.com/wp-content/uploads/2020/03/HT2-CARES-Act-Update-3.28.2020.pdf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https://www.cpapracticeadvisor.com/tax-compliance/news/21131709/summary-of-the-coronavirus-aid-relief-and-economic-security-cares-act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Renelt</dc:creator>
  <cp:keywords/>
  <dc:description/>
  <cp:lastModifiedBy>Hannah Drager</cp:lastModifiedBy>
  <cp:revision>3</cp:revision>
  <dcterms:created xsi:type="dcterms:W3CDTF">2020-03-30T22:34:00Z</dcterms:created>
  <dcterms:modified xsi:type="dcterms:W3CDTF">2020-04-15T17:01:00Z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0x010100DF483E354D57454A8CE96571F0CC6135</vt:lpwstr>
  </property>
</Properties>
</file>