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4BB20" w14:textId="471706D2" w:rsidR="00CF1F14" w:rsidRDefault="00CF1F14">
      <w:pPr>
        <w:rPr>
          <w:b/>
          <w:bCs/>
          <w:sz w:val="24"/>
          <w:szCs w:val="24"/>
        </w:rPr>
      </w:pPr>
      <w:bookmarkStart w:id="0" w:name="_GoBack"/>
      <w:r>
        <w:rPr>
          <w:rFonts w:cstheme="minorHAnsi"/>
          <w:noProof/>
        </w:rPr>
        <w:drawing>
          <wp:anchor distT="0" distB="0" distL="114300" distR="114300" simplePos="0" relativeHeight="251660288" behindDoc="1" locked="0" layoutInCell="1" allowOverlap="1" wp14:anchorId="596D8320" wp14:editId="1A367071">
            <wp:simplePos x="0" y="0"/>
            <wp:positionH relativeFrom="column">
              <wp:posOffset>-405158</wp:posOffset>
            </wp:positionH>
            <wp:positionV relativeFrom="paragraph">
              <wp:posOffset>-381221</wp:posOffset>
            </wp:positionV>
            <wp:extent cx="2876550" cy="771525"/>
            <wp:effectExtent l="0" t="0" r="0" b="9525"/>
            <wp:wrapNone/>
            <wp:docPr id="1" name="Picture 1" descr="Description: S:\SHARED\Marketing\VSH Logos (NEW 2011)\VSH_LogoForClient\VSH_LogoForClient\JPGs\VSHLogo_JPGsRevised\VSH_Logo2c_horizOutl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HARED\Marketing\VSH Logos (NEW 2011)\VSH_LogoForClient\VSH_LogoForClient\JPGs\VSHLogo_JPGsRevised\VSH_Logo2c_horizOutl_No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771525"/>
                    </a:xfrm>
                    <a:prstGeom prst="rect">
                      <a:avLst/>
                    </a:prstGeom>
                    <a:noFill/>
                    <a:ln>
                      <a:noFill/>
                    </a:ln>
                  </pic:spPr>
                </pic:pic>
              </a:graphicData>
            </a:graphic>
          </wp:anchor>
        </w:drawing>
      </w:r>
      <w:bookmarkEnd w:id="0"/>
      <w:r>
        <w:rPr>
          <w:rFonts w:cstheme="minorHAnsi"/>
          <w:noProof/>
          <w:sz w:val="20"/>
        </w:rPr>
        <mc:AlternateContent>
          <mc:Choice Requires="wps">
            <w:drawing>
              <wp:anchor distT="0" distB="0" distL="114300" distR="114300" simplePos="0" relativeHeight="251659264" behindDoc="0" locked="0" layoutInCell="1" allowOverlap="1" wp14:anchorId="5B11C728" wp14:editId="75439CAB">
                <wp:simplePos x="0" y="0"/>
                <wp:positionH relativeFrom="column">
                  <wp:posOffset>2941983</wp:posOffset>
                </wp:positionH>
                <wp:positionV relativeFrom="paragraph">
                  <wp:posOffset>-524455</wp:posOffset>
                </wp:positionV>
                <wp:extent cx="3562350" cy="1190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2F202" w14:textId="77777777" w:rsidR="00CF1F14" w:rsidRPr="006803C7" w:rsidRDefault="00CF1F14" w:rsidP="00CF1F14">
                            <w:pPr>
                              <w:spacing w:after="0"/>
                              <w:jc w:val="right"/>
                              <w:rPr>
                                <w:rFonts w:ascii="Tahoma" w:hAnsi="Tahoma" w:cs="Tahoma"/>
                                <w:b/>
                                <w:bCs/>
                                <w:color w:val="76923C"/>
                                <w:sz w:val="18"/>
                              </w:rPr>
                            </w:pPr>
                            <w:r w:rsidRPr="006803C7">
                              <w:rPr>
                                <w:rFonts w:ascii="Tahoma" w:hAnsi="Tahoma" w:cs="Tahoma"/>
                                <w:b/>
                                <w:bCs/>
                                <w:color w:val="76923C"/>
                                <w:sz w:val="18"/>
                              </w:rPr>
                              <w:t>vshcpa.com</w:t>
                            </w:r>
                          </w:p>
                          <w:p w14:paraId="503B1403" w14:textId="77777777" w:rsidR="00CF1F14" w:rsidRPr="006803C7" w:rsidRDefault="00CF1F14" w:rsidP="00CF1F14">
                            <w:pPr>
                              <w:spacing w:after="0"/>
                              <w:rPr>
                                <w:rFonts w:ascii="Tahoma" w:hAnsi="Tahoma" w:cs="Tahoma"/>
                                <w:color w:val="76923C"/>
                                <w:sz w:val="16"/>
                              </w:rPr>
                            </w:pPr>
                            <w:r>
                              <w:rPr>
                                <w:rFonts w:ascii="Tahoma" w:hAnsi="Tahoma" w:cs="Tahoma"/>
                                <w:color w:val="76923C"/>
                                <w:sz w:val="16"/>
                              </w:rPr>
                              <w:t>BELLINGHAM</w:t>
                            </w:r>
                            <w:r w:rsidRPr="006803C7">
                              <w:rPr>
                                <w:rFonts w:ascii="Tahoma" w:hAnsi="Tahoma" w:cs="Tahoma"/>
                                <w:color w:val="76923C"/>
                                <w:sz w:val="16"/>
                              </w:rPr>
                              <w:t xml:space="preserve"> OFFICE</w:t>
                            </w:r>
                          </w:p>
                          <w:p w14:paraId="057B9667" w14:textId="77777777" w:rsidR="00CF1F14" w:rsidRPr="006803C7" w:rsidRDefault="00CF1F14" w:rsidP="00CF1F14">
                            <w:pPr>
                              <w:spacing w:after="0"/>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360 734-8715</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7145A2B0" w14:textId="77777777" w:rsidR="00CF1F14" w:rsidRDefault="00CF1F14" w:rsidP="00CF1F14">
                            <w:pPr>
                              <w:spacing w:after="0"/>
                              <w:rPr>
                                <w:rFonts w:ascii="New Century Schoolbook" w:hAnsi="New Century Schoolbook"/>
                                <w:color w:val="948A54"/>
                                <w:sz w:val="16"/>
                              </w:rPr>
                            </w:pPr>
                            <w:r w:rsidRPr="006803C7">
                              <w:rPr>
                                <w:rFonts w:ascii="New Century Schoolbook" w:hAnsi="New Century Schoolbook"/>
                                <w:color w:val="948A54"/>
                                <w:sz w:val="16"/>
                              </w:rPr>
                              <w:t xml:space="preserve">2200 Rimland Drive - Suite #205 - Bellingham, WA </w:t>
                            </w:r>
                            <w:r>
                              <w:rPr>
                                <w:rFonts w:ascii="New Century Schoolbook" w:hAnsi="New Century Schoolbook"/>
                                <w:color w:val="948A54"/>
                                <w:sz w:val="16"/>
                              </w:rPr>
                              <w:t>–</w:t>
                            </w:r>
                            <w:r w:rsidRPr="006803C7">
                              <w:rPr>
                                <w:rFonts w:ascii="New Century Schoolbook" w:hAnsi="New Century Schoolbook"/>
                                <w:color w:val="948A54"/>
                                <w:sz w:val="16"/>
                              </w:rPr>
                              <w:t xml:space="preserve"> 98226</w:t>
                            </w:r>
                          </w:p>
                          <w:p w14:paraId="177F3FC3" w14:textId="77777777" w:rsidR="00CF1F14" w:rsidRPr="006803C7" w:rsidRDefault="00CF1F14" w:rsidP="00CF1F14">
                            <w:pPr>
                              <w:spacing w:after="0"/>
                              <w:rPr>
                                <w:rFonts w:ascii="Tahoma" w:hAnsi="Tahoma" w:cs="Tahoma"/>
                                <w:color w:val="76923C"/>
                                <w:sz w:val="16"/>
                              </w:rPr>
                            </w:pPr>
                            <w:r>
                              <w:rPr>
                                <w:rFonts w:ascii="Tahoma" w:hAnsi="Tahoma" w:cs="Tahoma"/>
                                <w:color w:val="76923C"/>
                                <w:sz w:val="16"/>
                              </w:rPr>
                              <w:t>SKAGIT</w:t>
                            </w:r>
                            <w:r w:rsidRPr="006803C7">
                              <w:rPr>
                                <w:rFonts w:ascii="Tahoma" w:hAnsi="Tahoma" w:cs="Tahoma"/>
                                <w:color w:val="76923C"/>
                                <w:sz w:val="16"/>
                              </w:rPr>
                              <w:t xml:space="preserve"> OFFICE</w:t>
                            </w:r>
                          </w:p>
                          <w:p w14:paraId="07BDDF34" w14:textId="77777777" w:rsidR="00CF1F14" w:rsidRPr="006803C7" w:rsidRDefault="00CF1F14" w:rsidP="00CF1F14">
                            <w:pPr>
                              <w:spacing w:after="0"/>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360 707-4290</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1A288CAF" w14:textId="77777777" w:rsidR="00CF1F14" w:rsidRPr="004D03A7" w:rsidRDefault="00CF1F14" w:rsidP="00CF1F14">
                            <w:pPr>
                              <w:spacing w:after="0"/>
                              <w:rPr>
                                <w:rFonts w:ascii="New Century Schoolbook" w:hAnsi="New Century Schoolbook"/>
                                <w:color w:val="948A54"/>
                                <w:sz w:val="16"/>
                              </w:rPr>
                            </w:pPr>
                            <w:r>
                              <w:rPr>
                                <w:rFonts w:ascii="New Century Schoolbook" w:hAnsi="New Century Schoolbook"/>
                                <w:color w:val="948A54"/>
                                <w:sz w:val="16"/>
                              </w:rPr>
                              <w:t>1404 E College Way - Suite #100 – Mt Vernon, WA - 98273</w:t>
                            </w:r>
                          </w:p>
                          <w:p w14:paraId="20A9D14B" w14:textId="77777777" w:rsidR="00CF1F14" w:rsidRPr="004D03A7" w:rsidRDefault="00CF1F14" w:rsidP="00CF1F14">
                            <w:pPr>
                              <w:spacing w:after="0"/>
                              <w:rPr>
                                <w:rFonts w:ascii="New Century Schoolbook" w:hAnsi="New Century Schoolbook"/>
                                <w:color w:val="808080"/>
                                <w:sz w:val="16"/>
                              </w:rPr>
                            </w:pPr>
                            <w:r>
                              <w:rPr>
                                <w:rFonts w:ascii="Tahoma" w:hAnsi="Tahoma" w:cs="Tahoma"/>
                                <w:color w:val="76923C"/>
                                <w:sz w:val="14"/>
                              </w:rPr>
                              <w:t xml:space="preserve">BC </w:t>
                            </w: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604 531-6638</w:t>
                            </w:r>
                            <w:r>
                              <w:rPr>
                                <w:rFonts w:ascii="New Century Schoolbook" w:hAnsi="New Century Schoolbook"/>
                                <w:color w:val="948A54"/>
                                <w:sz w:val="16"/>
                              </w:rPr>
                              <w:t xml:space="preserve">   </w:t>
                            </w:r>
                            <w:r>
                              <w:rPr>
                                <w:rFonts w:ascii="Tahoma" w:hAnsi="Tahoma" w:cs="Tahoma"/>
                                <w:color w:val="76923C"/>
                                <w:sz w:val="14"/>
                              </w:rPr>
                              <w:t xml:space="preserve">AB </w:t>
                            </w: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 xml:space="preserve">587 293-9595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1C728" id="_x0000_t202" coordsize="21600,21600" o:spt="202" path="m,l,21600r21600,l21600,xe">
                <v:stroke joinstyle="miter"/>
                <v:path gradientshapeok="t" o:connecttype="rect"/>
              </v:shapetype>
              <v:shape id="Text Box 2" o:spid="_x0000_s1026" type="#_x0000_t202" style="position:absolute;margin-left:231.65pt;margin-top:-41.3pt;width:280.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Nfgg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" stroked="f">
                <v:textbox>
                  <w:txbxContent>
                    <w:p w14:paraId="31F2F202" w14:textId="77777777" w:rsidR="00CF1F14" w:rsidRPr="006803C7" w:rsidRDefault="00CF1F14" w:rsidP="00CF1F14">
                      <w:pPr>
                        <w:spacing w:after="0"/>
                        <w:jc w:val="right"/>
                        <w:rPr>
                          <w:rFonts w:ascii="Tahoma" w:hAnsi="Tahoma" w:cs="Tahoma"/>
                          <w:b/>
                          <w:bCs/>
                          <w:color w:val="76923C"/>
                          <w:sz w:val="18"/>
                        </w:rPr>
                      </w:pPr>
                      <w:r w:rsidRPr="006803C7">
                        <w:rPr>
                          <w:rFonts w:ascii="Tahoma" w:hAnsi="Tahoma" w:cs="Tahoma"/>
                          <w:b/>
                          <w:bCs/>
                          <w:color w:val="76923C"/>
                          <w:sz w:val="18"/>
                        </w:rPr>
                        <w:t>vshcpa.com</w:t>
                      </w:r>
                    </w:p>
                    <w:p w14:paraId="503B1403" w14:textId="77777777" w:rsidR="00CF1F14" w:rsidRPr="006803C7" w:rsidRDefault="00CF1F14" w:rsidP="00CF1F14">
                      <w:pPr>
                        <w:spacing w:after="0"/>
                        <w:rPr>
                          <w:rFonts w:ascii="Tahoma" w:hAnsi="Tahoma" w:cs="Tahoma"/>
                          <w:color w:val="76923C"/>
                          <w:sz w:val="16"/>
                        </w:rPr>
                      </w:pPr>
                      <w:r>
                        <w:rPr>
                          <w:rFonts w:ascii="Tahoma" w:hAnsi="Tahoma" w:cs="Tahoma"/>
                          <w:color w:val="76923C"/>
                          <w:sz w:val="16"/>
                        </w:rPr>
                        <w:t>BELLINGHAM</w:t>
                      </w:r>
                      <w:r w:rsidRPr="006803C7">
                        <w:rPr>
                          <w:rFonts w:ascii="Tahoma" w:hAnsi="Tahoma" w:cs="Tahoma"/>
                          <w:color w:val="76923C"/>
                          <w:sz w:val="16"/>
                        </w:rPr>
                        <w:t xml:space="preserve"> OFFICE</w:t>
                      </w:r>
                    </w:p>
                    <w:p w14:paraId="057B9667" w14:textId="77777777" w:rsidR="00CF1F14" w:rsidRPr="006803C7" w:rsidRDefault="00CF1F14" w:rsidP="00CF1F14">
                      <w:pPr>
                        <w:spacing w:after="0"/>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360 734-8715</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7145A2B0" w14:textId="77777777" w:rsidR="00CF1F14" w:rsidRDefault="00CF1F14" w:rsidP="00CF1F14">
                      <w:pPr>
                        <w:spacing w:after="0"/>
                        <w:rPr>
                          <w:rFonts w:ascii="New Century Schoolbook" w:hAnsi="New Century Schoolbook"/>
                          <w:color w:val="948A54"/>
                          <w:sz w:val="16"/>
                        </w:rPr>
                      </w:pPr>
                      <w:r w:rsidRPr="006803C7">
                        <w:rPr>
                          <w:rFonts w:ascii="New Century Schoolbook" w:hAnsi="New Century Schoolbook"/>
                          <w:color w:val="948A54"/>
                          <w:sz w:val="16"/>
                        </w:rPr>
                        <w:t xml:space="preserve">2200 Rimland Drive - Suite #205 - Bellingham, WA </w:t>
                      </w:r>
                      <w:r>
                        <w:rPr>
                          <w:rFonts w:ascii="New Century Schoolbook" w:hAnsi="New Century Schoolbook"/>
                          <w:color w:val="948A54"/>
                          <w:sz w:val="16"/>
                        </w:rPr>
                        <w:t>–</w:t>
                      </w:r>
                      <w:r w:rsidRPr="006803C7">
                        <w:rPr>
                          <w:rFonts w:ascii="New Century Schoolbook" w:hAnsi="New Century Schoolbook"/>
                          <w:color w:val="948A54"/>
                          <w:sz w:val="16"/>
                        </w:rPr>
                        <w:t xml:space="preserve"> 98226</w:t>
                      </w:r>
                    </w:p>
                    <w:p w14:paraId="177F3FC3" w14:textId="77777777" w:rsidR="00CF1F14" w:rsidRPr="006803C7" w:rsidRDefault="00CF1F14" w:rsidP="00CF1F14">
                      <w:pPr>
                        <w:spacing w:after="0"/>
                        <w:rPr>
                          <w:rFonts w:ascii="Tahoma" w:hAnsi="Tahoma" w:cs="Tahoma"/>
                          <w:color w:val="76923C"/>
                          <w:sz w:val="16"/>
                        </w:rPr>
                      </w:pPr>
                      <w:r>
                        <w:rPr>
                          <w:rFonts w:ascii="Tahoma" w:hAnsi="Tahoma" w:cs="Tahoma"/>
                          <w:color w:val="76923C"/>
                          <w:sz w:val="16"/>
                        </w:rPr>
                        <w:t>SKAGIT</w:t>
                      </w:r>
                      <w:r w:rsidRPr="006803C7">
                        <w:rPr>
                          <w:rFonts w:ascii="Tahoma" w:hAnsi="Tahoma" w:cs="Tahoma"/>
                          <w:color w:val="76923C"/>
                          <w:sz w:val="16"/>
                        </w:rPr>
                        <w:t xml:space="preserve"> OFFICE</w:t>
                      </w:r>
                    </w:p>
                    <w:p w14:paraId="07BDDF34" w14:textId="77777777" w:rsidR="00CF1F14" w:rsidRPr="006803C7" w:rsidRDefault="00CF1F14" w:rsidP="00CF1F14">
                      <w:pPr>
                        <w:spacing w:after="0"/>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360 707-4290</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1A288CAF" w14:textId="77777777" w:rsidR="00CF1F14" w:rsidRPr="004D03A7" w:rsidRDefault="00CF1F14" w:rsidP="00CF1F14">
                      <w:pPr>
                        <w:spacing w:after="0"/>
                        <w:rPr>
                          <w:rFonts w:ascii="New Century Schoolbook" w:hAnsi="New Century Schoolbook"/>
                          <w:color w:val="948A54"/>
                          <w:sz w:val="16"/>
                        </w:rPr>
                      </w:pPr>
                      <w:r>
                        <w:rPr>
                          <w:rFonts w:ascii="New Century Schoolbook" w:hAnsi="New Century Schoolbook"/>
                          <w:color w:val="948A54"/>
                          <w:sz w:val="16"/>
                        </w:rPr>
                        <w:t>1404 E College Way - Suite #100 – Mt Vernon, WA - 98273</w:t>
                      </w:r>
                    </w:p>
                    <w:p w14:paraId="20A9D14B" w14:textId="77777777" w:rsidR="00CF1F14" w:rsidRPr="004D03A7" w:rsidRDefault="00CF1F14" w:rsidP="00CF1F14">
                      <w:pPr>
                        <w:spacing w:after="0"/>
                        <w:rPr>
                          <w:rFonts w:ascii="New Century Schoolbook" w:hAnsi="New Century Schoolbook"/>
                          <w:color w:val="808080"/>
                          <w:sz w:val="16"/>
                        </w:rPr>
                      </w:pPr>
                      <w:r>
                        <w:rPr>
                          <w:rFonts w:ascii="Tahoma" w:hAnsi="Tahoma" w:cs="Tahoma"/>
                          <w:color w:val="76923C"/>
                          <w:sz w:val="14"/>
                        </w:rPr>
                        <w:t xml:space="preserve">BC </w:t>
                      </w: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604 531-6638</w:t>
                      </w:r>
                      <w:r>
                        <w:rPr>
                          <w:rFonts w:ascii="New Century Schoolbook" w:hAnsi="New Century Schoolbook"/>
                          <w:color w:val="948A54"/>
                          <w:sz w:val="16"/>
                        </w:rPr>
                        <w:t xml:space="preserve">   </w:t>
                      </w:r>
                      <w:r>
                        <w:rPr>
                          <w:rFonts w:ascii="Tahoma" w:hAnsi="Tahoma" w:cs="Tahoma"/>
                          <w:color w:val="76923C"/>
                          <w:sz w:val="14"/>
                        </w:rPr>
                        <w:t xml:space="preserve">AB </w:t>
                      </w: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 xml:space="preserve">587 293-9595   </w:t>
                      </w:r>
                    </w:p>
                  </w:txbxContent>
                </v:textbox>
              </v:shape>
            </w:pict>
          </mc:Fallback>
        </mc:AlternateContent>
      </w:r>
    </w:p>
    <w:p w14:paraId="5BD766C3" w14:textId="4B114F3A" w:rsidR="00CF1F14" w:rsidRDefault="00CF1F14">
      <w:pPr>
        <w:rPr>
          <w:b/>
          <w:bCs/>
          <w:sz w:val="24"/>
          <w:szCs w:val="24"/>
        </w:rPr>
      </w:pPr>
    </w:p>
    <w:p w14:paraId="77B8E027" w14:textId="3F1A4761" w:rsidR="00CF1F14" w:rsidRDefault="00CF1F14">
      <w:pPr>
        <w:rPr>
          <w:b/>
          <w:bCs/>
          <w:sz w:val="24"/>
          <w:szCs w:val="24"/>
        </w:rPr>
      </w:pPr>
    </w:p>
    <w:p w14:paraId="356C98DF" w14:textId="527675ED" w:rsidR="00A51B33" w:rsidRPr="00073D11" w:rsidRDefault="00936AF0">
      <w:pPr>
        <w:rPr>
          <w:b/>
          <w:bCs/>
          <w:sz w:val="24"/>
          <w:szCs w:val="24"/>
        </w:rPr>
      </w:pPr>
      <w:r w:rsidRPr="00073D11">
        <w:rPr>
          <w:b/>
          <w:bCs/>
          <w:sz w:val="24"/>
          <w:szCs w:val="24"/>
        </w:rPr>
        <w:t xml:space="preserve">Summary of the </w:t>
      </w:r>
      <w:r w:rsidR="00881949" w:rsidRPr="00073D11">
        <w:rPr>
          <w:b/>
          <w:bCs/>
          <w:sz w:val="24"/>
          <w:szCs w:val="24"/>
        </w:rPr>
        <w:t>Employee Retention Tax Credit</w:t>
      </w:r>
      <w:r w:rsidRPr="00073D11">
        <w:rPr>
          <w:b/>
          <w:bCs/>
          <w:sz w:val="24"/>
          <w:szCs w:val="24"/>
        </w:rPr>
        <w:t xml:space="preserve"> Provision of the CARES Act</w:t>
      </w:r>
    </w:p>
    <w:p w14:paraId="13143C6C" w14:textId="0C753C60" w:rsidR="00AC592F" w:rsidRDefault="007E50B2">
      <w:r>
        <w:t xml:space="preserve">One of the many key provisions in the </w:t>
      </w:r>
      <w:r w:rsidR="00AC592F">
        <w:t xml:space="preserve">CARES Act is the Employee Retention Credit. </w:t>
      </w:r>
      <w:r w:rsidR="00211440">
        <w:t xml:space="preserve">This credit is geared towards </w:t>
      </w:r>
      <w:r w:rsidR="00873491">
        <w:t>employers</w:t>
      </w:r>
      <w:r w:rsidR="00211440">
        <w:t xml:space="preserve"> subject to partial or full </w:t>
      </w:r>
      <w:r w:rsidR="004A3044">
        <w:t xml:space="preserve">COVID-19 related </w:t>
      </w:r>
      <w:r w:rsidR="00211440">
        <w:t>closures</w:t>
      </w:r>
      <w:r w:rsidR="004A3044">
        <w:t xml:space="preserve">. </w:t>
      </w:r>
      <w:r w:rsidR="00084987">
        <w:t>This credit impacts compensation, furlough</w:t>
      </w:r>
      <w:r w:rsidR="00D03817">
        <w:t>,</w:t>
      </w:r>
      <w:r w:rsidR="00084987">
        <w:t xml:space="preserve"> and layoff strategies. If you are considering </w:t>
      </w:r>
      <w:r w:rsidR="00572233">
        <w:t>making workforce reductions, it is important to understand your options under the CARES Act.</w:t>
      </w:r>
    </w:p>
    <w:p w14:paraId="29908ABA" w14:textId="77777777" w:rsidR="005843AE" w:rsidRDefault="00FC19A8" w:rsidP="005843AE">
      <w:r>
        <w:t xml:space="preserve">We have put the following summary together </w:t>
      </w:r>
      <w:r w:rsidR="00081FB5">
        <w:t>to empower employers</w:t>
      </w:r>
      <w:r w:rsidR="00126544">
        <w:t xml:space="preserve"> that </w:t>
      </w:r>
      <w:r w:rsidR="0051412E">
        <w:t>may be faced</w:t>
      </w:r>
      <w:r w:rsidR="00126544">
        <w:t xml:space="preserve"> with</w:t>
      </w:r>
      <w:r w:rsidR="00081FB5">
        <w:t xml:space="preserve"> difficult decisions</w:t>
      </w:r>
      <w:r w:rsidR="00126544">
        <w:t xml:space="preserve"> in the days ahead. </w:t>
      </w:r>
    </w:p>
    <w:p w14:paraId="2926CF6C" w14:textId="2EA16D55" w:rsidR="005843AE" w:rsidRDefault="005843AE" w:rsidP="005843AE">
      <w:r>
        <w:t>This</w:t>
      </w:r>
      <w:r w:rsidRPr="001A764F">
        <w:t xml:space="preserve"> credit</w:t>
      </w:r>
      <w:r>
        <w:t xml:space="preserve"> is equal </w:t>
      </w:r>
      <w:r w:rsidRPr="001A764F">
        <w:t>to 50% of qualified wages against quarterly employment taxes to offset up to $10,000 of wages paid per employee for wages paid after March 12, 2020, and before Jan</w:t>
      </w:r>
      <w:r w:rsidR="00F345E2">
        <w:t>uary</w:t>
      </w:r>
      <w:r w:rsidRPr="001A764F">
        <w:t xml:space="preserve"> 1, 2021.</w:t>
      </w:r>
      <w:r>
        <w:t xml:space="preserve"> </w:t>
      </w:r>
    </w:p>
    <w:p w14:paraId="1265DC0C" w14:textId="77777777" w:rsidR="00806CD2" w:rsidRPr="002341CD" w:rsidRDefault="00806CD2" w:rsidP="00806CD2">
      <w:pPr>
        <w:rPr>
          <w:b/>
          <w:bCs/>
          <w:sz w:val="24"/>
          <w:szCs w:val="24"/>
        </w:rPr>
      </w:pPr>
      <w:r w:rsidRPr="002341CD">
        <w:rPr>
          <w:b/>
          <w:bCs/>
          <w:sz w:val="24"/>
          <w:szCs w:val="24"/>
        </w:rPr>
        <w:t>Eligibility</w:t>
      </w:r>
    </w:p>
    <w:p w14:paraId="3B92E860" w14:textId="29720F31" w:rsidR="00DF4699" w:rsidRDefault="0089407D" w:rsidP="005843AE">
      <w:r>
        <w:t xml:space="preserve">This program is available to </w:t>
      </w:r>
      <w:r w:rsidR="00C456EB">
        <w:t xml:space="preserve">all </w:t>
      </w:r>
      <w:r w:rsidR="00C17DB2">
        <w:t xml:space="preserve">types of </w:t>
      </w:r>
      <w:r w:rsidR="00C456EB">
        <w:t xml:space="preserve">employers, regardless of size. </w:t>
      </w:r>
      <w:r w:rsidR="00067030">
        <w:t>Employers must meet one of the two following requirements to qualify:</w:t>
      </w:r>
    </w:p>
    <w:p w14:paraId="1D128C58" w14:textId="77777777" w:rsidR="00806CD2" w:rsidRDefault="00806CD2" w:rsidP="00806CD2">
      <w:pPr>
        <w:pStyle w:val="ListParagraph"/>
        <w:numPr>
          <w:ilvl w:val="0"/>
          <w:numId w:val="5"/>
        </w:numPr>
      </w:pPr>
      <w:r w:rsidRPr="00BE583A">
        <w:t>The Employee Retention Payroll Tax Credit</w:t>
      </w:r>
      <w:r w:rsidRPr="00BE583A">
        <w:rPr>
          <w:i/>
          <w:iCs/>
        </w:rPr>
        <w:t xml:space="preserve"> </w:t>
      </w:r>
      <w:r>
        <w:t xml:space="preserve">is available to employers whose operations were fully or partially suspended as a result of a government order due to COVID-19. </w:t>
      </w:r>
    </w:p>
    <w:p w14:paraId="4F61103D" w14:textId="72D24C45" w:rsidR="00806CD2" w:rsidRDefault="00806CD2" w:rsidP="00806CD2">
      <w:pPr>
        <w:pStyle w:val="ListParagraph"/>
        <w:numPr>
          <w:ilvl w:val="0"/>
          <w:numId w:val="5"/>
        </w:numPr>
      </w:pPr>
      <w:r>
        <w:t>Gross receipts declining by more than 50% (when compared to the same quarter last year) is also an indication of an employer’s eligibility.</w:t>
      </w:r>
      <w:r w:rsidR="00E74089">
        <w:t xml:space="preserve"> </w:t>
      </w:r>
    </w:p>
    <w:p w14:paraId="429C71C0" w14:textId="77777777" w:rsidR="00385DE3" w:rsidRDefault="00385DE3" w:rsidP="00564D3D">
      <w:r>
        <w:t>If your business qualifies</w:t>
      </w:r>
      <w:r w:rsidR="00E74089">
        <w:t xml:space="preserve"> under the gross receipts test</w:t>
      </w:r>
      <w:r>
        <w:t>:</w:t>
      </w:r>
    </w:p>
    <w:p w14:paraId="73359DB9" w14:textId="2A328AFC" w:rsidR="004D3BC0" w:rsidRDefault="000A5C63" w:rsidP="000A5C63">
      <w:pPr>
        <w:pStyle w:val="ListParagraph"/>
        <w:numPr>
          <w:ilvl w:val="0"/>
          <w:numId w:val="6"/>
        </w:numPr>
      </w:pPr>
      <w:r>
        <w:t>It</w:t>
      </w:r>
      <w:r w:rsidR="00E74089">
        <w:t xml:space="preserve"> will remain qualified until </w:t>
      </w:r>
      <w:r w:rsidR="004D3BC0">
        <w:t xml:space="preserve">the quarter after the quarter </w:t>
      </w:r>
      <w:r w:rsidR="00B93149">
        <w:t xml:space="preserve">in </w:t>
      </w:r>
      <w:r w:rsidR="004D3BC0">
        <w:t xml:space="preserve">which their gross receipts exceed 80% of the gross receipts for the same quarter in the prior year. </w:t>
      </w:r>
    </w:p>
    <w:p w14:paraId="4F0FA455" w14:textId="6E8C83FA" w:rsidR="000A5C63" w:rsidRDefault="00194A3F" w:rsidP="000A5C63">
      <w:pPr>
        <w:pStyle w:val="ListParagraph"/>
        <w:numPr>
          <w:ilvl w:val="0"/>
          <w:numId w:val="6"/>
        </w:numPr>
      </w:pPr>
      <w:r>
        <w:t xml:space="preserve">A close eye will need to be kept on eligibility and ineligibility because businesses often do not know their gross receipts until after the close of each quarter. The IRS has been directed to waive </w:t>
      </w:r>
      <w:r w:rsidR="00363102">
        <w:t>penalties</w:t>
      </w:r>
      <w:r>
        <w:t xml:space="preserve"> for failure to deposit payroll taxes</w:t>
      </w:r>
      <w:r w:rsidR="00363102">
        <w:t xml:space="preserve"> only if it is due to the anticipation of this credit.</w:t>
      </w:r>
    </w:p>
    <w:p w14:paraId="23D6B0DE" w14:textId="2EA9A4B2" w:rsidR="00067030" w:rsidRPr="002341CD" w:rsidRDefault="004D3BC0" w:rsidP="00564D3D">
      <w:pPr>
        <w:rPr>
          <w:b/>
          <w:bCs/>
          <w:sz w:val="24"/>
          <w:szCs w:val="24"/>
        </w:rPr>
      </w:pPr>
      <w:r w:rsidRPr="002341CD">
        <w:rPr>
          <w:b/>
          <w:bCs/>
          <w:sz w:val="24"/>
          <w:szCs w:val="24"/>
        </w:rPr>
        <w:t>Also</w:t>
      </w:r>
      <w:r w:rsidR="002341CD">
        <w:rPr>
          <w:b/>
          <w:bCs/>
          <w:sz w:val="24"/>
          <w:szCs w:val="24"/>
        </w:rPr>
        <w:t>,</w:t>
      </w:r>
      <w:r w:rsidR="00564D3D" w:rsidRPr="002341CD">
        <w:rPr>
          <w:b/>
          <w:bCs/>
          <w:sz w:val="24"/>
          <w:szCs w:val="24"/>
        </w:rPr>
        <w:t xml:space="preserve"> important to note,</w:t>
      </w:r>
    </w:p>
    <w:p w14:paraId="4386BFB9" w14:textId="072BF852" w:rsidR="00BE583A" w:rsidRDefault="009E16C0" w:rsidP="00BE583A">
      <w:pPr>
        <w:pStyle w:val="ListParagraph"/>
        <w:numPr>
          <w:ilvl w:val="0"/>
          <w:numId w:val="2"/>
        </w:numPr>
      </w:pPr>
      <w:r>
        <w:t xml:space="preserve">Nonprofit </w:t>
      </w:r>
      <w:r w:rsidR="00564D3D">
        <w:t xml:space="preserve">501(c)(3) entities </w:t>
      </w:r>
      <w:r>
        <w:t xml:space="preserve">are </w:t>
      </w:r>
      <w:r w:rsidR="00BE583A">
        <w:t xml:space="preserve">also </w:t>
      </w:r>
      <w:r>
        <w:t xml:space="preserve">eligible to take advantage of this credit. </w:t>
      </w:r>
    </w:p>
    <w:p w14:paraId="00E2AB39" w14:textId="1C1B9026" w:rsidR="00BE583A" w:rsidRDefault="009E16C0" w:rsidP="00BE583A">
      <w:pPr>
        <w:pStyle w:val="ListParagraph"/>
        <w:numPr>
          <w:ilvl w:val="0"/>
          <w:numId w:val="2"/>
        </w:numPr>
      </w:pPr>
      <w:r>
        <w:t>Employers taking advantage of</w:t>
      </w:r>
      <w:r w:rsidR="00564D3D">
        <w:t xml:space="preserve"> certain government loans, such as the </w:t>
      </w:r>
      <w:r>
        <w:t>small business interruption loan</w:t>
      </w:r>
      <w:r w:rsidR="00564D3D">
        <w:t>,</w:t>
      </w:r>
      <w:r>
        <w:t xml:space="preserve"> </w:t>
      </w:r>
      <w:r w:rsidR="00564D3D">
        <w:rPr>
          <w:u w:val="single"/>
        </w:rPr>
        <w:t>are</w:t>
      </w:r>
      <w:r w:rsidRPr="00BE583A">
        <w:rPr>
          <w:u w:val="single"/>
        </w:rPr>
        <w:t xml:space="preserve"> not</w:t>
      </w:r>
      <w:r>
        <w:t xml:space="preserve"> eligible for this tax credit.</w:t>
      </w:r>
      <w:r w:rsidRPr="003D38AB">
        <w:t xml:space="preserve"> </w:t>
      </w:r>
    </w:p>
    <w:p w14:paraId="384AA680" w14:textId="0C67C419" w:rsidR="005843AE" w:rsidRPr="009B58E0" w:rsidRDefault="005843AE" w:rsidP="005843AE">
      <w:pPr>
        <w:pStyle w:val="ListParagraph"/>
        <w:numPr>
          <w:ilvl w:val="0"/>
          <w:numId w:val="2"/>
        </w:numPr>
      </w:pPr>
      <w:r>
        <w:t>Health benefits are considered eligible wages under this credit.</w:t>
      </w:r>
    </w:p>
    <w:p w14:paraId="010CF352" w14:textId="45C03346" w:rsidR="00A4709C" w:rsidRPr="002341CD" w:rsidRDefault="00A4709C" w:rsidP="007B784C">
      <w:pPr>
        <w:rPr>
          <w:b/>
          <w:bCs/>
          <w:sz w:val="24"/>
          <w:szCs w:val="24"/>
        </w:rPr>
      </w:pPr>
      <w:r w:rsidRPr="002341CD">
        <w:rPr>
          <w:b/>
          <w:bCs/>
          <w:sz w:val="24"/>
          <w:szCs w:val="24"/>
        </w:rPr>
        <w:t xml:space="preserve">Company size </w:t>
      </w:r>
      <w:r w:rsidR="00052088" w:rsidRPr="002341CD">
        <w:rPr>
          <w:b/>
          <w:bCs/>
          <w:sz w:val="24"/>
          <w:szCs w:val="24"/>
        </w:rPr>
        <w:t>considerations</w:t>
      </w:r>
    </w:p>
    <w:p w14:paraId="797BD054" w14:textId="060904B9" w:rsidR="001435CA" w:rsidRDefault="001435CA" w:rsidP="007B784C">
      <w:r>
        <w:t xml:space="preserve">If </w:t>
      </w:r>
      <w:r w:rsidR="0018052E">
        <w:t xml:space="preserve">you are </w:t>
      </w:r>
      <w:r>
        <w:t>an employer with 100 or fewer employees</w:t>
      </w:r>
      <w:r w:rsidR="0018052E">
        <w:t>,</w:t>
      </w:r>
    </w:p>
    <w:p w14:paraId="52414D25" w14:textId="2306CF14" w:rsidR="001435CA" w:rsidRDefault="001435CA" w:rsidP="001435CA">
      <w:pPr>
        <w:pStyle w:val="ListParagraph"/>
        <w:numPr>
          <w:ilvl w:val="0"/>
          <w:numId w:val="7"/>
        </w:numPr>
      </w:pPr>
      <w:r>
        <w:t>Wages of all employees are eligible for the credit</w:t>
      </w:r>
      <w:r w:rsidR="002341CD">
        <w:t xml:space="preserve"> </w:t>
      </w:r>
      <w:r w:rsidR="0018052E">
        <w:t>i</w:t>
      </w:r>
      <w:r w:rsidR="002341CD">
        <w:t xml:space="preserve">f the employer meets at least one of the two eligibility requirements mentioned above. </w:t>
      </w:r>
    </w:p>
    <w:p w14:paraId="093D2719" w14:textId="5742E9A3" w:rsidR="001435CA" w:rsidRDefault="001435CA" w:rsidP="007B784C">
      <w:r>
        <w:lastRenderedPageBreak/>
        <w:t xml:space="preserve">If </w:t>
      </w:r>
      <w:r w:rsidR="0018052E">
        <w:t xml:space="preserve">you are </w:t>
      </w:r>
      <w:r>
        <w:t>an employer with more than 100 employees,</w:t>
      </w:r>
    </w:p>
    <w:p w14:paraId="47B2A6FB" w14:textId="3D09F4F9" w:rsidR="001435CA" w:rsidRDefault="002341CD" w:rsidP="001435CA">
      <w:pPr>
        <w:pStyle w:val="ListParagraph"/>
        <w:numPr>
          <w:ilvl w:val="0"/>
          <w:numId w:val="7"/>
        </w:numPr>
      </w:pPr>
      <w:r>
        <w:t xml:space="preserve">Only the wages for employees who </w:t>
      </w:r>
      <w:r w:rsidR="0018052E">
        <w:t xml:space="preserve">did not </w:t>
      </w:r>
      <w:r>
        <w:t>provide services as a result of either two eligibility events above would be eligible for the credit.</w:t>
      </w:r>
    </w:p>
    <w:p w14:paraId="79EEA805" w14:textId="77777777" w:rsidR="0017640C" w:rsidRPr="0017640C" w:rsidRDefault="0017640C" w:rsidP="00425AD9">
      <w:pPr>
        <w:rPr>
          <w:b/>
          <w:bCs/>
        </w:rPr>
      </w:pPr>
      <w:r w:rsidRPr="0017640C">
        <w:rPr>
          <w:b/>
          <w:bCs/>
        </w:rPr>
        <w:t>How do I receive my credit?</w:t>
      </w:r>
    </w:p>
    <w:p w14:paraId="4FA856AA" w14:textId="45FE971B" w:rsidR="00A844C7" w:rsidRDefault="0017640C" w:rsidP="00425AD9">
      <w:r>
        <w:t>Employers can receive their credit immediately</w:t>
      </w:r>
      <w:r w:rsidR="00E22EA9">
        <w:t xml:space="preserve"> by reducing their required deposits of payroll taxes that have been withheld from employees</w:t>
      </w:r>
      <w:r w:rsidR="00671292">
        <w:t>’</w:t>
      </w:r>
      <w:r w:rsidR="00E22EA9">
        <w:t xml:space="preserve"> wag</w:t>
      </w:r>
      <w:r w:rsidR="00D77262">
        <w:t>es</w:t>
      </w:r>
      <w:r w:rsidR="00A844C7">
        <w:t xml:space="preserve">. </w:t>
      </w:r>
      <w:r w:rsidR="0053418C">
        <w:t>Employers taking the credit will be required to report</w:t>
      </w:r>
      <w:r w:rsidR="006962FD">
        <w:t xml:space="preserve"> their total qualified wages and related healthcare expenses each quester</w:t>
      </w:r>
      <w:r w:rsidR="007C2FAB">
        <w:t xml:space="preserve"> through their normal quarterly reporting on form 941, beginning in the second quarter.</w:t>
      </w:r>
      <w:r w:rsidR="006818ED">
        <w:t xml:space="preserve"> </w:t>
      </w:r>
    </w:p>
    <w:p w14:paraId="3B7855DA" w14:textId="0D9C3FA6" w:rsidR="00D26621" w:rsidRDefault="00600D16" w:rsidP="00425AD9">
      <w:r>
        <w:t>Employers may receive an advance payment by su</w:t>
      </w:r>
      <w:r w:rsidR="00D26621">
        <w:t xml:space="preserve">bmitting form 7200 if their employment tax deposits are not enough to cover the credit. </w:t>
      </w:r>
    </w:p>
    <w:p w14:paraId="174816F0" w14:textId="53B0CC10" w:rsidR="00425AD9" w:rsidRPr="001435CA" w:rsidRDefault="008C7ACC" w:rsidP="00425AD9">
      <w:r>
        <w:t xml:space="preserve">Please contact us to review which credits </w:t>
      </w:r>
      <w:r w:rsidR="00A36761">
        <w:t>from the FFCRA and CARES Act will be most beneficial for your business.</w:t>
      </w:r>
    </w:p>
    <w:sectPr w:rsidR="00425AD9" w:rsidRPr="0014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7A29"/>
    <w:multiLevelType w:val="multilevel"/>
    <w:tmpl w:val="7E666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D5CDF"/>
    <w:multiLevelType w:val="hybridMultilevel"/>
    <w:tmpl w:val="7C4E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F3CE4"/>
    <w:multiLevelType w:val="hybridMultilevel"/>
    <w:tmpl w:val="6070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96CB0"/>
    <w:multiLevelType w:val="hybridMultilevel"/>
    <w:tmpl w:val="577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314A6"/>
    <w:multiLevelType w:val="hybridMultilevel"/>
    <w:tmpl w:val="8D66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05CAE"/>
    <w:multiLevelType w:val="hybridMultilevel"/>
    <w:tmpl w:val="06B0F956"/>
    <w:lvl w:ilvl="0" w:tplc="30EC4F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027D2"/>
    <w:multiLevelType w:val="hybridMultilevel"/>
    <w:tmpl w:val="A112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49"/>
    <w:rsid w:val="00052088"/>
    <w:rsid w:val="00067030"/>
    <w:rsid w:val="00073D11"/>
    <w:rsid w:val="00081FB5"/>
    <w:rsid w:val="00084987"/>
    <w:rsid w:val="000A5C63"/>
    <w:rsid w:val="00126544"/>
    <w:rsid w:val="001435CA"/>
    <w:rsid w:val="00172AE3"/>
    <w:rsid w:val="0017640C"/>
    <w:rsid w:val="0018052E"/>
    <w:rsid w:val="00194A3F"/>
    <w:rsid w:val="001E1835"/>
    <w:rsid w:val="00211440"/>
    <w:rsid w:val="002341CD"/>
    <w:rsid w:val="002D3B6D"/>
    <w:rsid w:val="002E6135"/>
    <w:rsid w:val="00362F37"/>
    <w:rsid w:val="00363102"/>
    <w:rsid w:val="00385DE3"/>
    <w:rsid w:val="003A0AC3"/>
    <w:rsid w:val="003E0A4E"/>
    <w:rsid w:val="00411A4F"/>
    <w:rsid w:val="00425AD9"/>
    <w:rsid w:val="004524BA"/>
    <w:rsid w:val="004A3044"/>
    <w:rsid w:val="004D3BC0"/>
    <w:rsid w:val="004E3AF4"/>
    <w:rsid w:val="0051412E"/>
    <w:rsid w:val="0053418C"/>
    <w:rsid w:val="00564D3D"/>
    <w:rsid w:val="00572233"/>
    <w:rsid w:val="005843AE"/>
    <w:rsid w:val="00600D16"/>
    <w:rsid w:val="00671292"/>
    <w:rsid w:val="006818ED"/>
    <w:rsid w:val="00685A06"/>
    <w:rsid w:val="0069532F"/>
    <w:rsid w:val="006962FD"/>
    <w:rsid w:val="00785635"/>
    <w:rsid w:val="007B784C"/>
    <w:rsid w:val="007C2FAB"/>
    <w:rsid w:val="007E50B2"/>
    <w:rsid w:val="00806CD2"/>
    <w:rsid w:val="00816967"/>
    <w:rsid w:val="00873491"/>
    <w:rsid w:val="00881949"/>
    <w:rsid w:val="0089407D"/>
    <w:rsid w:val="008945C1"/>
    <w:rsid w:val="008C7ACC"/>
    <w:rsid w:val="009007CD"/>
    <w:rsid w:val="00936AF0"/>
    <w:rsid w:val="00976125"/>
    <w:rsid w:val="009C7598"/>
    <w:rsid w:val="009E16C0"/>
    <w:rsid w:val="00A36761"/>
    <w:rsid w:val="00A4709C"/>
    <w:rsid w:val="00A51B33"/>
    <w:rsid w:val="00A844C7"/>
    <w:rsid w:val="00AC592F"/>
    <w:rsid w:val="00AF5029"/>
    <w:rsid w:val="00B53504"/>
    <w:rsid w:val="00B93149"/>
    <w:rsid w:val="00BE583A"/>
    <w:rsid w:val="00C17DB2"/>
    <w:rsid w:val="00C456EB"/>
    <w:rsid w:val="00CE0A15"/>
    <w:rsid w:val="00CF1F14"/>
    <w:rsid w:val="00D03817"/>
    <w:rsid w:val="00D26621"/>
    <w:rsid w:val="00D35B84"/>
    <w:rsid w:val="00D72A14"/>
    <w:rsid w:val="00D77262"/>
    <w:rsid w:val="00DF4699"/>
    <w:rsid w:val="00E22EA9"/>
    <w:rsid w:val="00E24680"/>
    <w:rsid w:val="00E74089"/>
    <w:rsid w:val="00F345E2"/>
    <w:rsid w:val="00F4202A"/>
    <w:rsid w:val="00F5349C"/>
    <w:rsid w:val="00F7692C"/>
    <w:rsid w:val="00F85A73"/>
    <w:rsid w:val="00FB7628"/>
    <w:rsid w:val="00FC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468A"/>
  <w15:chartTrackingRefBased/>
  <w15:docId w15:val="{63FC5D1D-FCE8-45EA-80BA-0B8C764F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2C"/>
    <w:pPr>
      <w:ind w:left="720"/>
      <w:contextualSpacing/>
    </w:pPr>
  </w:style>
  <w:style w:type="paragraph" w:styleId="BalloonText">
    <w:name w:val="Balloon Text"/>
    <w:basedOn w:val="Normal"/>
    <w:link w:val="BalloonTextChar"/>
    <w:uiPriority w:val="99"/>
    <w:semiHidden/>
    <w:unhideWhenUsed/>
    <w:rsid w:val="009E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C0"/>
    <w:rPr>
      <w:rFonts w:ascii="Segoe UI" w:hAnsi="Segoe UI" w:cs="Segoe UI"/>
      <w:sz w:val="18"/>
      <w:szCs w:val="18"/>
    </w:rPr>
  </w:style>
  <w:style w:type="character" w:styleId="CommentReference">
    <w:name w:val="annotation reference"/>
    <w:basedOn w:val="DefaultParagraphFont"/>
    <w:uiPriority w:val="99"/>
    <w:semiHidden/>
    <w:unhideWhenUsed/>
    <w:rsid w:val="009E16C0"/>
    <w:rPr>
      <w:sz w:val="16"/>
      <w:szCs w:val="16"/>
    </w:rPr>
  </w:style>
  <w:style w:type="paragraph" w:styleId="CommentText">
    <w:name w:val="annotation text"/>
    <w:basedOn w:val="Normal"/>
    <w:link w:val="CommentTextChar"/>
    <w:uiPriority w:val="99"/>
    <w:semiHidden/>
    <w:unhideWhenUsed/>
    <w:rsid w:val="009E16C0"/>
    <w:pPr>
      <w:spacing w:line="240" w:lineRule="auto"/>
    </w:pPr>
    <w:rPr>
      <w:sz w:val="20"/>
      <w:szCs w:val="20"/>
    </w:rPr>
  </w:style>
  <w:style w:type="character" w:customStyle="1" w:styleId="CommentTextChar">
    <w:name w:val="Comment Text Char"/>
    <w:basedOn w:val="DefaultParagraphFont"/>
    <w:link w:val="CommentText"/>
    <w:uiPriority w:val="99"/>
    <w:semiHidden/>
    <w:rsid w:val="009E16C0"/>
    <w:rPr>
      <w:sz w:val="20"/>
      <w:szCs w:val="20"/>
    </w:rPr>
  </w:style>
  <w:style w:type="paragraph" w:styleId="CommentSubject">
    <w:name w:val="annotation subject"/>
    <w:basedOn w:val="CommentText"/>
    <w:next w:val="CommentText"/>
    <w:link w:val="CommentSubjectChar"/>
    <w:uiPriority w:val="99"/>
    <w:semiHidden/>
    <w:unhideWhenUsed/>
    <w:rsid w:val="002E6135"/>
    <w:rPr>
      <w:b/>
      <w:bCs/>
    </w:rPr>
  </w:style>
  <w:style w:type="character" w:customStyle="1" w:styleId="CommentSubjectChar">
    <w:name w:val="Comment Subject Char"/>
    <w:basedOn w:val="CommentTextChar"/>
    <w:link w:val="CommentSubject"/>
    <w:uiPriority w:val="99"/>
    <w:semiHidden/>
    <w:rsid w:val="002E6135"/>
    <w:rPr>
      <w:b/>
      <w:bCs/>
      <w:sz w:val="20"/>
      <w:szCs w:val="20"/>
    </w:rPr>
  </w:style>
  <w:style w:type="character" w:styleId="Hyperlink">
    <w:name w:val="Hyperlink"/>
    <w:basedOn w:val="DefaultParagraphFont"/>
    <w:uiPriority w:val="99"/>
    <w:semiHidden/>
    <w:unhideWhenUsed/>
    <w:rsid w:val="002E6135"/>
    <w:rPr>
      <w:color w:val="0000FF"/>
      <w:u w:val="single"/>
    </w:rPr>
  </w:style>
  <w:style w:type="character" w:styleId="FollowedHyperlink">
    <w:name w:val="FollowedHyperlink"/>
    <w:basedOn w:val="DefaultParagraphFont"/>
    <w:uiPriority w:val="99"/>
    <w:semiHidden/>
    <w:unhideWhenUsed/>
    <w:rsid w:val="00452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35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83E354D57454A8CE96571F0CC6135" ma:contentTypeVersion="9" ma:contentTypeDescription="Create a new document." ma:contentTypeScope="" ma:versionID="8036154cc88a0245e768b22c19b03eea">
  <xsd:schema xmlns:xsd="http://www.w3.org/2001/XMLSchema" xmlns:xs="http://www.w3.org/2001/XMLSchema" xmlns:p="http://schemas.microsoft.com/office/2006/metadata/properties" xmlns:ns2="4fb526e6-87a1-4300-b63f-91c0eefa9031" targetNamespace="http://schemas.microsoft.com/office/2006/metadata/properties" ma:root="true" ma:fieldsID="3a488a933c04a9095df6d76c8c443723" ns2:_="">
    <xsd:import namespace="4fb526e6-87a1-4300-b63f-91c0eefa9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526e6-87a1-4300-b63f-91c0eefa9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36919-2C97-4AF2-A2B2-EA8B4DEE860A}">
  <ds:schemaRefs>
    <ds:schemaRef ds:uri="http://schemas.microsoft.com/sharepoint/v3/contenttype/forms"/>
  </ds:schemaRefs>
</ds:datastoreItem>
</file>

<file path=customXml/itemProps2.xml><?xml version="1.0" encoding="utf-8"?>
<ds:datastoreItem xmlns:ds="http://schemas.openxmlformats.org/officeDocument/2006/customXml" ds:itemID="{A8D7C17A-6AA2-454F-9197-00BA42C5B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526e6-87a1-4300-b63f-91c0eefa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B4282-20E0-4940-9D68-58F0E78372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Renelt</dc:creator>
  <cp:keywords/>
  <dc:description/>
  <cp:lastModifiedBy>Hannah Drager</cp:lastModifiedBy>
  <cp:revision>24</cp:revision>
  <dcterms:created xsi:type="dcterms:W3CDTF">2020-03-30T22:40:00Z</dcterms:created>
  <dcterms:modified xsi:type="dcterms:W3CDTF">2020-04-15T17:09:00Z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0x010100DF483E354D57454A8CE96571F0CC6135</vt:lpwstr>
  </property>
</Properties>
</file>